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812B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Հաստատում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եմ</w:t>
      </w:r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2844C359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</w:rPr>
        <w:t>պատասխանատու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ստորաբաժանման</w:t>
      </w:r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r>
        <w:rPr>
          <w:rFonts w:ascii="GHEA Grapalat" w:hAnsi="GHEA Grapalat" w:cs="Sylfaen"/>
          <w:sz w:val="22"/>
          <w:szCs w:val="22"/>
        </w:rPr>
        <w:t>ղեկավար՝</w:t>
      </w:r>
    </w:p>
    <w:p w14:paraId="2EDC825D">
      <w:pPr>
        <w:jc w:val="right"/>
        <w:rPr>
          <w:rFonts w:ascii="GHEA Grapalat" w:hAnsi="GHEA Grapalat" w:cs="Sylfaen"/>
          <w:sz w:val="8"/>
          <w:szCs w:val="22"/>
          <w:lang w:val="ro-RO"/>
        </w:rPr>
      </w:pPr>
    </w:p>
    <w:p w14:paraId="46534D7A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>__________________</w:t>
      </w:r>
    </w:p>
    <w:p w14:paraId="18D5BBF6">
      <w:pPr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08FE4AFB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</w:t>
      </w:r>
      <w:r>
        <w:rPr>
          <w:rFonts w:ascii="GHEA Grapalat" w:hAnsi="GHEA Grapalat"/>
          <w:sz w:val="22"/>
          <w:szCs w:val="22"/>
          <w:lang w:val="hy-AM"/>
        </w:rPr>
        <w:t>6</w:t>
      </w:r>
      <w:r>
        <w:rPr>
          <w:rFonts w:ascii="GHEA Grapalat" w:hAnsi="GHEA Grapalat" w:cs="Sylfaen"/>
          <w:sz w:val="22"/>
          <w:szCs w:val="22"/>
        </w:rPr>
        <w:t>թ</w:t>
      </w:r>
    </w:p>
    <w:p w14:paraId="6214FD26">
      <w:pPr>
        <w:jc w:val="center"/>
        <w:rPr>
          <w:rFonts w:ascii="GHEA Grapalat" w:hAnsi="GHEA Grapalat" w:cs="Sylfaen"/>
          <w:sz w:val="22"/>
          <w:szCs w:val="22"/>
          <w:lang w:val="ro-RO"/>
        </w:rPr>
      </w:pPr>
    </w:p>
    <w:p w14:paraId="2A250D39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40"/>
        <w:tblW w:w="10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"/>
        <w:gridCol w:w="1535"/>
        <w:gridCol w:w="8459"/>
      </w:tblGrid>
      <w:tr w14:paraId="7855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355" w:type="dxa"/>
          </w:tcPr>
          <w:p w14:paraId="0B8720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1535" w:type="dxa"/>
          </w:tcPr>
          <w:p w14:paraId="5A097428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</w:p>
        </w:tc>
        <w:tc>
          <w:tcPr>
            <w:tcW w:w="8459" w:type="dxa"/>
            <w:vAlign w:val="center"/>
          </w:tcPr>
          <w:p w14:paraId="37BA121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b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Ալավերդի համայնքի Ալավերդի քաղաքի Սանահին Սարահարթ թաղամասի N </w:t>
            </w:r>
            <w:r>
              <w:rPr>
                <w:rFonts w:hint="default" w:ascii="GHEA Grapalat" w:hAnsi="GHEA Grapalat"/>
                <w:sz w:val="22"/>
                <w:szCs w:val="22"/>
                <w:lang w:val="hy-AM"/>
              </w:rPr>
              <w:t xml:space="preserve">3/7 և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N</w:t>
            </w:r>
            <w:r>
              <w:rPr>
                <w:rFonts w:hint="default" w:ascii="GHEA Grapalat" w:hAnsi="GHEA Grapalat"/>
                <w:sz w:val="22"/>
                <w:szCs w:val="22"/>
                <w:lang w:val="hy-AM"/>
              </w:rPr>
              <w:t xml:space="preserve"> 3/8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բազմաբնակարան շենքերի տանիքների և</w:t>
            </w:r>
            <w:r>
              <w:rPr>
                <w:rFonts w:hint="default" w:ascii="GHEA Grapalat" w:hAnsi="GHEA Grapalat"/>
                <w:sz w:val="22"/>
                <w:szCs w:val="22"/>
                <w:lang w:val="hy-AM"/>
              </w:rPr>
              <w:t xml:space="preserve"> շքամուտքերի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վերանորոգման, վերնածածկի ջերմամեկուսացման</w:t>
            </w:r>
            <w:r>
              <w:rPr>
                <w:rFonts w:hint="default" w:ascii="GHEA Grapalat" w:hAnsi="GHEA Grapalat"/>
                <w:sz w:val="22"/>
                <w:szCs w:val="22"/>
                <w:lang w:val="hy-AM"/>
              </w:rPr>
              <w:t>,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 շքամուտքերի և աստիճանավանդակների վերանորոգման, դռների ու պատուհանների փոխարինման, շքամուտքերի էլեկտրամատակարարման լարերի կարգավորման</w:t>
            </w:r>
            <w:r>
              <w:rPr>
                <w:rFonts w:hint="default"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աշխատանքների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նախագծանախահաշվային փաստաթղթերի կազմման և պարզ փորձաքննության</w:t>
            </w:r>
            <w:r>
              <w:rPr>
                <w:rFonts w:hint="default"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տրամադրման ծառայությունների ձեռք բերման</w:t>
            </w:r>
          </w:p>
        </w:tc>
      </w:tr>
      <w:tr w14:paraId="10896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55" w:type="dxa"/>
          </w:tcPr>
          <w:p w14:paraId="77D2CAC1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1535" w:type="dxa"/>
            <w:vAlign w:val="center"/>
          </w:tcPr>
          <w:p w14:paraId="6CB93C55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18"/>
              </w:rPr>
              <w:t>նախատես</w:t>
            </w:r>
            <w:r>
              <w:rPr>
                <w:rFonts w:hint="default" w:ascii="GHEA Grapalat" w:hAnsi="GHEA Grapalat" w:cs="Sylfaen"/>
                <w:sz w:val="20"/>
                <w:szCs w:val="18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  <w:szCs w:val="18"/>
              </w:rPr>
              <w:t>վող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18"/>
              </w:rPr>
              <w:t>աշխատանք</w:t>
            </w:r>
            <w:r>
              <w:rPr>
                <w:rFonts w:hint="default" w:ascii="GHEA Grapalat" w:hAnsi="GHEA Grapalat" w:cs="Sylfaen"/>
                <w:sz w:val="20"/>
                <w:szCs w:val="18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  <w:szCs w:val="18"/>
              </w:rPr>
              <w:t>ների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8459" w:type="dxa"/>
          </w:tcPr>
          <w:p w14:paraId="4D6CE066">
            <w:pPr>
              <w:pStyle w:val="7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6"/>
                <w:szCs w:val="4"/>
                <w:lang w:val="af-ZA" w:eastAsia="en-US"/>
              </w:rPr>
            </w:pPr>
            <w:bookmarkStart w:id="3" w:name="_GoBack"/>
            <w:bookmarkEnd w:id="3"/>
          </w:p>
          <w:p w14:paraId="492C58E1">
            <w:pPr>
              <w:pStyle w:val="7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Աշխատանքներն ունեն ներքոհիշյալ տեխնիկական բնութագրերը՝</w:t>
            </w:r>
          </w:p>
          <w:p w14:paraId="7B6BEA0D">
            <w:pPr>
              <w:pStyle w:val="76"/>
              <w:spacing w:after="240"/>
              <w:ind w:left="-74" w:right="284" w:firstLine="284"/>
              <w:jc w:val="both"/>
              <w:rPr>
                <w:rFonts w:hint="default" w:ascii="GHEA Grapalat" w:hAnsi="GHEA Grapalat"/>
                <w:color w:val="auto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 xml:space="preserve">Ալավերդի քաղաքի Սանահին Սարահարթ թաղամասի N </w:t>
            </w:r>
            <w:r>
              <w:rPr>
                <w:rFonts w:hint="default" w:ascii="GHEA Grapalat" w:hAnsi="GHEA Grapalat"/>
                <w:color w:val="auto"/>
                <w:sz w:val="22"/>
                <w:szCs w:val="22"/>
                <w:lang w:val="hy-AM"/>
              </w:rPr>
              <w:t xml:space="preserve">3/7 </w:t>
            </w:r>
            <w:r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 xml:space="preserve">բազմաբնակարան շենքի տանիքի </w:t>
            </w:r>
            <w:r>
              <w:rPr>
                <w:rFonts w:hint="default" w:ascii="GHEA Grapalat" w:hAnsi="GHEA Grapalat"/>
                <w:color w:val="auto"/>
                <w:sz w:val="22"/>
                <w:szCs w:val="22"/>
                <w:lang w:val="hy-AM"/>
              </w:rPr>
              <w:t xml:space="preserve">ծածկի </w:t>
            </w:r>
            <w:r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 xml:space="preserve">մակերեսը կազմում է </w:t>
            </w:r>
            <w:r>
              <w:rPr>
                <w:rFonts w:hint="default" w:ascii="GHEA Grapalat" w:hAnsi="GHEA Grapalat"/>
                <w:color w:val="auto"/>
                <w:sz w:val="22"/>
                <w:szCs w:val="22"/>
                <w:lang w:val="en-US"/>
              </w:rPr>
              <w:t xml:space="preserve">854 </w:t>
            </w:r>
            <w:r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>քմ</w:t>
            </w:r>
            <w:r>
              <w:rPr>
                <w:rFonts w:hint="default" w:ascii="GHEA Grapalat" w:hAnsi="GHEA Grapalat"/>
                <w:color w:val="auto"/>
                <w:sz w:val="22"/>
                <w:szCs w:val="22"/>
                <w:lang w:val="hy-AM"/>
              </w:rPr>
              <w:t>, շքամուտքերի քանակը՝</w:t>
            </w:r>
            <w:r>
              <w:rPr>
                <w:rFonts w:hint="default" w:ascii="GHEA Grapalat" w:hAnsi="GHEA Grapalat"/>
                <w:color w:val="auto"/>
                <w:sz w:val="22"/>
                <w:szCs w:val="22"/>
                <w:lang w:val="en-US"/>
              </w:rPr>
              <w:t xml:space="preserve"> 3</w:t>
            </w:r>
            <w:r>
              <w:rPr>
                <w:rFonts w:hint="default" w:ascii="GHEA Grapalat" w:hAnsi="GHEA Grapalat"/>
                <w:color w:val="auto"/>
                <w:sz w:val="22"/>
                <w:szCs w:val="22"/>
                <w:lang w:val="hy-AM"/>
              </w:rPr>
              <w:t>, հինգ հարկանի</w:t>
            </w:r>
          </w:p>
          <w:p w14:paraId="76E4F084">
            <w:pPr>
              <w:pStyle w:val="76"/>
              <w:spacing w:after="240"/>
              <w:ind w:left="-74" w:right="284" w:firstLine="284"/>
              <w:jc w:val="both"/>
              <w:rPr>
                <w:rFonts w:hint="default" w:ascii="GHEA Grapalat" w:hAnsi="GHEA Grapalat"/>
                <w:color w:val="auto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 xml:space="preserve">Ալավերդի քաղաքի Սանահին Սարահարթ թաղամասի N </w:t>
            </w:r>
            <w:r>
              <w:rPr>
                <w:rFonts w:hint="default" w:ascii="GHEA Grapalat" w:hAnsi="GHEA Grapalat"/>
                <w:color w:val="auto"/>
                <w:sz w:val="22"/>
                <w:szCs w:val="22"/>
                <w:lang w:val="hy-AM"/>
              </w:rPr>
              <w:t xml:space="preserve">3/8 </w:t>
            </w:r>
            <w:r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>բազմաբնակարան շենքի տանիքի ծածկի</w:t>
            </w:r>
            <w:r>
              <w:rPr>
                <w:rFonts w:hint="default" w:ascii="GHEA Grapalat" w:hAnsi="GHEA Grapalat"/>
                <w:color w:val="auto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 xml:space="preserve">մակերեսը կազմում է </w:t>
            </w:r>
            <w:r>
              <w:rPr>
                <w:rFonts w:hint="default" w:ascii="GHEA Grapalat" w:hAnsi="GHEA Grapalat"/>
                <w:color w:val="auto"/>
                <w:sz w:val="22"/>
                <w:szCs w:val="22"/>
                <w:lang w:val="en-US"/>
              </w:rPr>
              <w:t xml:space="preserve">850 </w:t>
            </w:r>
            <w:r>
              <w:rPr>
                <w:rFonts w:ascii="GHEA Grapalat" w:hAnsi="GHEA Grapalat"/>
                <w:color w:val="auto"/>
                <w:sz w:val="22"/>
                <w:szCs w:val="22"/>
                <w:lang w:val="hy-AM"/>
              </w:rPr>
              <w:t>քմ</w:t>
            </w:r>
            <w:r>
              <w:rPr>
                <w:rFonts w:hint="default" w:ascii="GHEA Grapalat" w:hAnsi="GHEA Grapalat"/>
                <w:color w:val="auto"/>
                <w:sz w:val="22"/>
                <w:szCs w:val="22"/>
                <w:lang w:val="hy-AM"/>
              </w:rPr>
              <w:t>, շքամուտքերի քանակը՝</w:t>
            </w:r>
            <w:r>
              <w:rPr>
                <w:rFonts w:hint="default" w:ascii="GHEA Grapalat" w:hAnsi="GHEA Grapalat"/>
                <w:color w:val="auto"/>
                <w:sz w:val="22"/>
                <w:szCs w:val="22"/>
                <w:lang w:val="en-US"/>
              </w:rPr>
              <w:t xml:space="preserve"> 3</w:t>
            </w:r>
            <w:r>
              <w:rPr>
                <w:rFonts w:hint="default" w:ascii="GHEA Grapalat" w:hAnsi="GHEA Grapalat"/>
                <w:color w:val="auto"/>
                <w:sz w:val="22"/>
                <w:szCs w:val="22"/>
                <w:lang w:val="hy-AM"/>
              </w:rPr>
              <w:t>, հինգ հարկանի</w:t>
            </w:r>
          </w:p>
          <w:p w14:paraId="026F8FAD">
            <w:pPr>
              <w:pStyle w:val="76"/>
              <w:numPr>
                <w:ilvl w:val="0"/>
                <w:numId w:val="1"/>
              </w:numPr>
              <w:ind w:left="0" w:leftChars="0" w:right="141" w:firstLine="0" w:firstLineChars="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bookmarkStart w:id="0" w:name="_Hlk116992010"/>
            <w:bookmarkStart w:id="1" w:name="_Hlk116992132"/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Ասբոշիֆերի ծածկի քանդում, ջրհորդանի քանդում, ջրատար խողովակների ապամոնտաժում, տանիքի վնասված փայտանյութի ապամոնտաժում, ջրհորդանի փայտանյութի ապամոնտաժում, ձեղնալուսամուտի քանդում,</w:t>
            </w:r>
          </w:p>
          <w:bookmarkEnd w:id="0"/>
          <w:p w14:paraId="0CE7956D">
            <w:pPr>
              <w:pStyle w:val="76"/>
              <w:numPr>
                <w:ilvl w:val="0"/>
                <w:numId w:val="1"/>
              </w:numPr>
              <w:ind w:left="0" w:leftChars="0" w:right="141" w:firstLine="0" w:firstLineChars="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Տանիքի նոր փայտանյութի տեղադրում՝ ծպեղնաոտքեր, թեքաններ, տափաստաններ, կողահատ փայտանյութ կավարամածի համար, կավարամած առանձին տեղերում, ջրհորդանի տախտակների տեղադրում, ջրհոս խողովակների փոխում,</w:t>
            </w:r>
          </w:p>
          <w:p w14:paraId="2B5C2535">
            <w:pPr>
              <w:pStyle w:val="76"/>
              <w:numPr>
                <w:ilvl w:val="0"/>
                <w:numId w:val="1"/>
              </w:numPr>
              <w:ind w:left="0" w:leftChars="0" w:right="141" w:firstLine="0" w:firstLineChars="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Ջրհորդանի տեղադրում, պիպերի տակի և օդափոխության բլոկների փեշերի տախտակների տեղադրում, ձեղնալուսամուտների կառուցում,</w:t>
            </w:r>
          </w:p>
          <w:p w14:paraId="090C2BFA">
            <w:pPr>
              <w:pStyle w:val="76"/>
              <w:numPr>
                <w:ilvl w:val="0"/>
                <w:numId w:val="1"/>
              </w:numPr>
              <w:ind w:left="0" w:leftChars="0" w:right="141" w:firstLine="0" w:firstLineChars="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Տանիքի ծածկույթի իրականացում ց/ պրոֆիլավոր փոշեներկված թիթեղից ԿՊ-25-0.5 մմ,</w:t>
            </w:r>
          </w:p>
          <w:p w14:paraId="32FFD639">
            <w:pPr>
              <w:pStyle w:val="76"/>
              <w:numPr>
                <w:ilvl w:val="0"/>
                <w:numId w:val="1"/>
              </w:numPr>
              <w:ind w:left="0" w:leftChars="0" w:right="141" w:firstLine="0" w:firstLineChars="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Տանիքի փայտե կոնստրուկցիաների և կավարամածի հրդեհապաշտպանում հրակայուն և հականեխիչ լուծույթով,</w:t>
            </w:r>
          </w:p>
          <w:p w14:paraId="1BCA13FA">
            <w:pPr>
              <w:pStyle w:val="76"/>
              <w:numPr>
                <w:ilvl w:val="0"/>
                <w:numId w:val="1"/>
              </w:numPr>
              <w:ind w:left="0" w:leftChars="0" w:right="141" w:firstLine="0" w:firstLineChars="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Ձեղնահարկի լուսամուտների փայտե կոնստրուկցիաների վերանորոգում,</w:t>
            </w:r>
          </w:p>
          <w:p w14:paraId="326D0FB0">
            <w:pPr>
              <w:pStyle w:val="76"/>
              <w:numPr>
                <w:ilvl w:val="0"/>
                <w:numId w:val="1"/>
              </w:numPr>
              <w:ind w:left="0" w:leftChars="0" w:right="141" w:firstLine="0" w:firstLineChars="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Ձեղնալուսամուտի պատերի երեսապատում փոշեներկված ց/ թիթեղով 0.5 մմ,</w:t>
            </w:r>
          </w:p>
          <w:p w14:paraId="1CFF9510">
            <w:pPr>
              <w:pStyle w:val="76"/>
              <w:numPr>
                <w:ilvl w:val="0"/>
                <w:numId w:val="1"/>
              </w:numPr>
              <w:ind w:left="0" w:leftChars="0" w:right="141" w:firstLine="0" w:firstLineChars="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Ջրթափ խողովակների,ձագարների ծունկերի, պիպերի, օդափոխության բլոկների, տանիքի ծածկույթի հետ հպման մասերի, ճակտոնների տեղադրում (բոլորը փոշեներկված ցինկապատ թիթեղից),</w:t>
            </w:r>
          </w:p>
          <w:p w14:paraId="140658E6">
            <w:pPr>
              <w:pStyle w:val="76"/>
              <w:numPr>
                <w:ilvl w:val="0"/>
                <w:numId w:val="1"/>
              </w:numPr>
              <w:ind w:left="0" w:leftChars="0" w:right="141" w:firstLine="0" w:firstLineChars="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Տանիք բարձրացող մտոցի, ձեղնահարկի լուսամուտների շերտափեղկերի տեղադրում, տանիքի պողպատե պաշտպանիչ մետաղական ճաղաշարի մոնտաժում, յուղաներկում, գլխանոցների տեղադրում ներկված ցինկապատ թիթեղից,</w:t>
            </w:r>
          </w:p>
          <w:p w14:paraId="528D35B9">
            <w:pPr>
              <w:pStyle w:val="76"/>
              <w:numPr>
                <w:ilvl w:val="0"/>
                <w:numId w:val="1"/>
              </w:numPr>
              <w:ind w:left="0" w:leftChars="0" w:right="141" w:firstLine="0" w:firstLineChars="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Անհրաժեշտության դեպքում օդափոխության բլոկների պատերի վերանորոգում, ամրացում. oդափոխության բոլոր խողովակները պետք է լինեն տանիքի ծածկից բարձր, որպեսզի համապատասխանեն գործող ստանդարտներին և նորմերին: Միահյուսված օդափոխության խողովակները պետք է ջերմամեկուսացվեն և պաշտպանվեն տանիքից վեր ձգվող մետաղյա ցինկապատ թիթեղով,</w:t>
            </w:r>
          </w:p>
          <w:p w14:paraId="32032002">
            <w:pPr>
              <w:pStyle w:val="76"/>
              <w:numPr>
                <w:ilvl w:val="0"/>
                <w:numId w:val="1"/>
              </w:numPr>
              <w:ind w:left="0" w:right="141" w:firstLine="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Վերնածածկերի ջերմամեկուսացում, համաձայն ՀՀՇՆ 24-01-2016 «Շենքերի ջերմային պաշտպանություն» դրույթների, կիրառելով փքապեռլիտով լցոնված պարկեր (20սմ հաստությամբ),</w:t>
            </w:r>
            <w:bookmarkEnd w:id="1"/>
          </w:p>
          <w:p w14:paraId="3EE1415C">
            <w:pPr>
              <w:pStyle w:val="76"/>
              <w:numPr>
                <w:ilvl w:val="0"/>
                <w:numId w:val="1"/>
              </w:numPr>
              <w:ind w:left="0" w:right="141" w:firstLine="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Շքամուտքերի պատերի և առաստաղների վերանորոգում, հին պատուհանների և դռների փոխարինում նորով, կիրառելով մետաղապլաստե շրջանակով պատուհաններ և ալյումինե շրջանակով (ջերմախզիչ միջուկով) մուտքի դռներ, ներառելով փակման մեխանիզմ  /շվեյցար/, օդափոխության հորանների նորոգում</w:t>
            </w:r>
          </w:p>
          <w:p w14:paraId="3D375980">
            <w:pPr>
              <w:pStyle w:val="76"/>
              <w:numPr>
                <w:ilvl w:val="0"/>
                <w:numId w:val="1"/>
              </w:numPr>
              <w:ind w:left="0" w:right="141" w:firstLine="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Նախագիծը</w:t>
            </w:r>
            <w:r>
              <w:rPr>
                <w:rFonts w:hint="default" w:ascii="GHEA Grapalat" w:hAnsi="GHEA Grapalat" w:cs="Sylfaen"/>
                <w:sz w:val="22"/>
                <w:szCs w:val="22"/>
                <w:lang w:val="hy-AM"/>
              </w:rPr>
              <w:t xml:space="preserve"> կազմելիս օգտվել նաև շենքերի տեխնիկական վիճակի մասին եզրակացություններից</w:t>
            </w:r>
          </w:p>
          <w:p w14:paraId="6CC3E569">
            <w:pPr>
              <w:pStyle w:val="76"/>
              <w:numPr>
                <w:ilvl w:val="0"/>
                <w:numId w:val="1"/>
              </w:numPr>
              <w:ind w:left="0" w:leftChars="0" w:right="141" w:firstLine="0" w:firstLineChars="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Բավարար որակ ունեցող ասբոշիֆերները հանելուց հետո հանձնել պատվիրատուին,</w:t>
            </w:r>
          </w:p>
          <w:p w14:paraId="33E92714">
            <w:pPr>
              <w:pStyle w:val="76"/>
              <w:numPr>
                <w:ilvl w:val="0"/>
                <w:numId w:val="1"/>
              </w:numPr>
              <w:ind w:left="0" w:leftChars="0" w:right="141" w:firstLine="0" w:firstLineChars="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Շին աղբի բարձում, տեղափոխում</w:t>
            </w:r>
            <w:r>
              <w:rPr>
                <w:rFonts w:ascii="GHEA Grapalat" w:hAnsi="GHEA Grapalat" w:cs="Sylfaen"/>
                <w:sz w:val="22"/>
                <w:szCs w:val="22"/>
                <w:lang w:val="en-US"/>
              </w:rPr>
              <w:t>.</w:t>
            </w:r>
          </w:p>
          <w:p w14:paraId="17FE0CB5">
            <w:pPr>
              <w:jc w:val="both"/>
              <w:rPr>
                <w:rFonts w:ascii="GHEA Grapalat" w:hAnsi="GHEA Grapalat"/>
                <w:b/>
                <w:bCs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1"/>
                <w:szCs w:val="21"/>
                <w:lang w:val="hy-AM"/>
              </w:rPr>
              <w:t>Անհրաժեշտ փորձաքննություն - Պարզ փորձաքննություն, շենքի</w:t>
            </w:r>
            <w:r>
              <w:rPr>
                <w:rFonts w:ascii="GHEA Grapalat" w:hAnsi="GHEA Grapalat"/>
                <w:sz w:val="21"/>
                <w:szCs w:val="21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1"/>
                <w:szCs w:val="21"/>
                <w:lang w:val="hy-AM"/>
              </w:rPr>
              <w:t>տեխնիկական վիճակի մասին եզրակացություն</w:t>
            </w:r>
          </w:p>
          <w:p w14:paraId="13C31254">
            <w:pPr>
              <w:jc w:val="both"/>
              <w:rPr>
                <w:rFonts w:ascii="GHEA Grapalat" w:hAnsi="GHEA Grapalat"/>
                <w:b/>
                <w:bCs/>
                <w:sz w:val="21"/>
                <w:szCs w:val="21"/>
                <w:lang w:val="hy-AM"/>
              </w:rPr>
            </w:pPr>
          </w:p>
          <w:p w14:paraId="1AB47E40">
            <w:pPr>
              <w:jc w:val="both"/>
              <w:rPr>
                <w:rFonts w:hint="default" w:ascii="GHEA Grapalat" w:hAnsi="GHEA Grapalat"/>
                <w:b/>
                <w:bCs/>
                <w:sz w:val="21"/>
                <w:szCs w:val="21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1"/>
                <w:szCs w:val="21"/>
                <w:lang w:val="hy-AM"/>
              </w:rPr>
              <w:t>Յուրաքանչյուր</w:t>
            </w:r>
            <w:r>
              <w:rPr>
                <w:rFonts w:hint="default" w:ascii="GHEA Grapalat" w:hAnsi="GHEA Grapalat"/>
                <w:b/>
                <w:bCs/>
                <w:sz w:val="21"/>
                <w:szCs w:val="21"/>
                <w:lang w:val="hy-AM"/>
              </w:rPr>
              <w:t xml:space="preserve"> շենքի համար ն</w:t>
            </w:r>
            <w:r>
              <w:rPr>
                <w:rFonts w:ascii="GHEA Grapalat" w:hAnsi="GHEA Grapalat"/>
                <w:b/>
                <w:bCs/>
                <w:sz w:val="21"/>
                <w:szCs w:val="21"/>
                <w:lang w:val="hy-AM"/>
              </w:rPr>
              <w:t>երկայացնել</w:t>
            </w:r>
            <w:r>
              <w:rPr>
                <w:rFonts w:hint="default" w:ascii="GHEA Grapalat" w:hAnsi="GHEA Grapalat"/>
                <w:b/>
                <w:bCs/>
                <w:sz w:val="21"/>
                <w:szCs w:val="21"/>
                <w:lang w:val="hy-AM"/>
              </w:rPr>
              <w:t xml:space="preserve"> տանիքների և շքամուտքերի վերանորոգման առանձին նախագծանախահաշվային փաստաթղթեր </w:t>
            </w:r>
          </w:p>
          <w:p w14:paraId="10EB6F4A">
            <w:pPr>
              <w:pStyle w:val="76"/>
              <w:spacing w:after="240"/>
              <w:ind w:left="-74" w:right="284" w:firstLine="284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hint="default" w:ascii="GHEA Grapalat" w:hAnsi="GHEA Grapalat"/>
                <w:sz w:val="22"/>
                <w:szCs w:val="22"/>
                <w:lang w:val="hy-AM"/>
              </w:rPr>
              <w:t xml:space="preserve">1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Ալավերդի համայնքի Ալավերդի քաղաքի Սանահին Սարահարթ թաղամասի N </w:t>
            </w:r>
            <w:r>
              <w:rPr>
                <w:rFonts w:hint="default" w:ascii="GHEA Grapalat" w:hAnsi="GHEA Grapalat"/>
                <w:sz w:val="22"/>
                <w:szCs w:val="22"/>
                <w:lang w:val="hy-AM"/>
              </w:rPr>
              <w:t>3/7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բազմաբնակարան շենքի տանիքի վերանորոգման, վերնածածկի ջերմամեկուսացման աշխատանքներ</w:t>
            </w:r>
          </w:p>
          <w:p w14:paraId="31201EC7">
            <w:pPr>
              <w:pStyle w:val="76"/>
              <w:spacing w:after="240"/>
              <w:ind w:left="-74" w:right="284" w:firstLine="284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hint="default" w:ascii="GHEA Grapalat" w:hAnsi="GHEA Grapalat"/>
                <w:sz w:val="22"/>
                <w:szCs w:val="22"/>
                <w:lang w:val="hy-AM"/>
              </w:rPr>
              <w:t xml:space="preserve">2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Ալավերդի համայնքի Ալավերդի քաղաքի Սանահին Սարահարթ թաղամասի N </w:t>
            </w:r>
            <w:r>
              <w:rPr>
                <w:rFonts w:hint="default" w:ascii="GHEA Grapalat" w:hAnsi="GHEA Grapalat"/>
                <w:sz w:val="22"/>
                <w:szCs w:val="22"/>
                <w:lang w:val="hy-AM"/>
              </w:rPr>
              <w:t>3/8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բազմաբնակարան շենքի տանիքի վերանորոգման, վերնածածկի ջերմամեկուսացման աշխատանքներ</w:t>
            </w:r>
          </w:p>
          <w:p w14:paraId="75B7E8FA">
            <w:pPr>
              <w:pStyle w:val="76"/>
              <w:spacing w:after="240"/>
              <w:ind w:left="-74" w:right="284" w:firstLine="284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hint="default" w:ascii="GHEA Grapalat" w:hAnsi="GHEA Grapalat"/>
                <w:sz w:val="22"/>
                <w:szCs w:val="22"/>
                <w:lang w:val="hy-AM"/>
              </w:rPr>
              <w:t xml:space="preserve">3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Ալավերդի համայնքի Ալավերդի քաղաքի Սանահին Սարահարթ թաղամասի N </w:t>
            </w:r>
            <w:r>
              <w:rPr>
                <w:rFonts w:hint="default" w:ascii="GHEA Grapalat" w:hAnsi="GHEA Grapalat"/>
                <w:sz w:val="22"/>
                <w:szCs w:val="22"/>
                <w:lang w:val="hy-AM"/>
              </w:rPr>
              <w:t>3/7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բազմաբնակարան շենքի շքամուտքերի և աստիճանավանդակների վերանորոգման, դռների ու պատուհանների փոխարինման, շքամուտքերի էլեկտրամատակարարման լարերի կարգավորման աշխատանքներ</w:t>
            </w:r>
          </w:p>
          <w:p w14:paraId="68A441D0">
            <w:pPr>
              <w:pStyle w:val="76"/>
              <w:spacing w:after="240"/>
              <w:ind w:left="-74" w:right="284" w:firstLine="284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hint="default" w:ascii="GHEA Grapalat" w:hAnsi="GHEA Grapalat"/>
                <w:sz w:val="22"/>
                <w:szCs w:val="22"/>
                <w:lang w:val="hy-AM"/>
              </w:rPr>
              <w:t xml:space="preserve">4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Ալավերդի համայնքի Ալավերդի քաղաքի Սանահին Սարահարթ թաղամասի N </w:t>
            </w:r>
            <w:r>
              <w:rPr>
                <w:rFonts w:hint="default" w:ascii="GHEA Grapalat" w:hAnsi="GHEA Grapalat"/>
                <w:sz w:val="22"/>
                <w:szCs w:val="22"/>
                <w:lang w:val="hy-AM"/>
              </w:rPr>
              <w:t>3/8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բազմաբնակարան շենքի շքամուտքերի և աստիճանավանդակների վերանորոգման, դռների ու պատուհանների փոխարինման, շքամուտքերի էլեկտրամատակարարման լարերի կարգավորման</w:t>
            </w:r>
            <w:r>
              <w:rPr>
                <w:rFonts w:hint="default"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աշխատանքներ</w:t>
            </w:r>
          </w:p>
          <w:p w14:paraId="4EA937BF">
            <w:pPr>
              <w:jc w:val="both"/>
              <w:rPr>
                <w:rFonts w:hint="default" w:ascii="GHEA Grapalat" w:hAnsi="GHEA Grapalat"/>
                <w:b/>
                <w:bCs/>
                <w:sz w:val="21"/>
                <w:szCs w:val="21"/>
                <w:lang w:val="hy-AM"/>
              </w:rPr>
            </w:pPr>
          </w:p>
        </w:tc>
      </w:tr>
      <w:tr w14:paraId="1D026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355" w:type="dxa"/>
          </w:tcPr>
          <w:p w14:paraId="0135735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1535" w:type="dxa"/>
            <w:vAlign w:val="center"/>
          </w:tcPr>
          <w:p w14:paraId="7A977E9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նորմատիվա</w:t>
            </w:r>
            <w:r>
              <w:rPr>
                <w:rFonts w:hint="default" w:ascii="GHEA Grapalat" w:hAnsi="GHEA Grapalat" w:cs="Sylfaen"/>
                <w:sz w:val="20"/>
                <w:szCs w:val="18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  <w:szCs w:val="18"/>
              </w:rPr>
              <w:t>յին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</w:p>
        </w:tc>
        <w:tc>
          <w:tcPr>
            <w:tcW w:w="8459" w:type="dxa"/>
          </w:tcPr>
          <w:p w14:paraId="20DF5AF8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Համայնքային բյուջեի ծրագիր </w:t>
            </w:r>
          </w:p>
          <w:p w14:paraId="3EE619D0">
            <w:pPr>
              <w:pStyle w:val="7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6D91EC1B">
            <w:pPr>
              <w:pStyle w:val="7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չափագրություններ,</w:t>
            </w:r>
          </w:p>
          <w:p w14:paraId="121BA8D8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մշակում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նորմատիվային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պահանջների՝</w:t>
            </w:r>
          </w:p>
          <w:p w14:paraId="3843DA9B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31-03-2018 «Հասարակական շենքեր և շինություններ», </w:t>
            </w:r>
          </w:p>
          <w:p w14:paraId="1E263ECF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20-06-2014 «Շենքերի և կառուցվածքների վերակառուցում, վերականգնում և ուժեղացում. հիմնական դրույթներ», </w:t>
            </w:r>
          </w:p>
          <w:p w14:paraId="3C443E27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20.04_«Երկրաշարժադիմացկուն շինարարություն. նախագծման նորմեր», </w:t>
            </w:r>
          </w:p>
          <w:p w14:paraId="2111256D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31-04-2022 «Տանիքներ և տանիքածածկեր», </w:t>
            </w:r>
          </w:p>
          <w:p w14:paraId="29D59679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24-01-2016 «Շենքերի ջերմային պաշտպանություն», </w:t>
            </w:r>
          </w:p>
          <w:p w14:paraId="01FA6B90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ՀՀՇՆ 21-01-2014 «Շենքերի և շինությունների հրդեհային անվտանգություն», </w:t>
            </w:r>
          </w:p>
          <w:p w14:paraId="7EFD315A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ՀՀՇՆ 22-03-2017 «Արհեստական և բնական լուսավորում»,</w:t>
            </w:r>
          </w:p>
          <w:p w14:paraId="525B32D2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 xml:space="preserve">ՀՀԿՀ 23-101-2017 «Բնակչության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մասին», </w:t>
            </w:r>
          </w:p>
          <w:p w14:paraId="0FB98D11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օբյեկտներում էներգախնայողության և էներգաարդյունավետության տեխնիկական կանոնակարգը սահմանելու մասին» որոշում,</w:t>
            </w:r>
          </w:p>
          <w:p w14:paraId="5C65726E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25.12.2014թ. թիվ 1504-Ն «Պետական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մասին» որոշում,</w:t>
            </w:r>
          </w:p>
          <w:p w14:paraId="3AE3DB13">
            <w:pPr>
              <w:pStyle w:val="7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ՀՀ կառավարության 16.02.2006թ. թիվ 392-Ն «Հաշմանդամների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մասին» որոշում:</w:t>
            </w:r>
          </w:p>
          <w:p w14:paraId="48169EBC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</w:pPr>
          </w:p>
          <w:p w14:paraId="4A2922A3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&lt;Քաղաքաշինության մասին&gt; օրենք</w:t>
            </w:r>
          </w:p>
          <w:p w14:paraId="27229B96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&lt;Քաղաքացիական պաշտպանության մասին&gt; օրենք</w:t>
            </w:r>
          </w:p>
          <w:p w14:paraId="75B79132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&lt;Շրջակա միջավայրի վրա ազդեցության գնահատման և փորձաքննության մասին&gt; օրենք</w:t>
            </w:r>
          </w:p>
          <w:p w14:paraId="1E4A24DA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քաղաքաշինության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կոմիտեի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նախագահի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2020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թվականի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դեկտեմբերի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10-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ՀՀՇՆ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31-03-&lt;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Հասարակական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շենքեր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շինություններ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&gt;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Հայաստանի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Հանրապետության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շինարարական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</w:rPr>
              <w:t>նորմերը</w:t>
            </w:r>
            <w:r>
              <w:rPr>
                <w:rFonts w:ascii="GHEA Grapalat" w:hAnsi="GHEA Grapalat"/>
                <w:color w:val="000000"/>
                <w:sz w:val="20"/>
                <w:szCs w:val="16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&gt; 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N 95-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>,</w:t>
            </w:r>
          </w:p>
          <w:p w14:paraId="1D747213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կառավարությանն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առընթեր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պետական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կոմիտեի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նախագահի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22-03-2017 «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Արհեստական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բնական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լուսավորում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»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շինարարական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հորմերը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հաստատելու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Հայաստանի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Հանրապետության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քաղաքաշինության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նախարարի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2001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թվականի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հոկտեմբերի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N 82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հրամանում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փոփոխություն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կատարելու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մի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շարք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հրամաններ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ուժը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կորցրած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ճանաչելու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eastAsia="ru-RU"/>
              </w:rPr>
              <w:t>մասին</w:t>
            </w:r>
            <w:r>
              <w:rPr>
                <w:rFonts w:ascii="GHEA Grapalat" w:hAnsi="GHEA Grapalat" w:cs="Sylfaen"/>
                <w:sz w:val="20"/>
                <w:szCs w:val="16"/>
                <w:lang w:val="af-ZA" w:eastAsia="ru-RU"/>
              </w:rPr>
              <w:t>»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N 56-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  <w:lang w:eastAsia="ru-RU"/>
              </w:rPr>
              <w:t>հրաման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>,</w:t>
            </w:r>
          </w:p>
          <w:p w14:paraId="17490332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lang w:val="af-ZA" w:eastAsia="ru-RU"/>
              </w:rPr>
              <w:t xml:space="preserve">-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2014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դեկտեմբերի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25-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ab/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Պետական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հաշվին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(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վերակառուցվող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նորոգվող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)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օբյեկտներում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էներգախնայողության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էներգաարդյունավետության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բարձրացմանն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ուղղված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կիրառման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1504-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որոշում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>,</w:t>
            </w:r>
          </w:p>
          <w:p w14:paraId="670C42CB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2017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մայիսի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4-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«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Գնումների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գործընթացի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կազմակերպման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կարգը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հաստատելու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և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2011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փետրվարի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N 168-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որոշումը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ուժը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կորցրած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ճանաչելու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մասին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»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 526-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որոշման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</w:rPr>
              <w:t>Կարգի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33-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10-</w:t>
            </w:r>
            <w:r>
              <w:rPr>
                <w:rFonts w:ascii="GHEA Grapalat" w:hAnsi="GHEA Grapalat" w:cs="Sylfaen"/>
                <w:sz w:val="20"/>
                <w:szCs w:val="16"/>
              </w:rPr>
              <w:t>րդ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ենթակետի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պահանջներ</w:t>
            </w:r>
          </w:p>
          <w:p w14:paraId="5C6B5756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>ՀՀ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կառավարության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2015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թվականի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մարտի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19-</w:t>
            </w:r>
            <w:r>
              <w:rPr>
                <w:rFonts w:ascii="GHEA Grapalat" w:hAnsi="GHEA Grapalat" w:eastAsia="Calibri" w:cs="Sylfaen"/>
                <w:sz w:val="20"/>
                <w:szCs w:val="16"/>
              </w:rPr>
              <w:t>ի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af-ZA"/>
              </w:rPr>
              <w:t xml:space="preserve"> &lt;Հայաստանի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մասին&gt; </w:t>
            </w:r>
            <w:r>
              <w:rPr>
                <w:rFonts w:ascii="GHEA Grapalat" w:hAnsi="GHEA Grapalat" w:eastAsia="Calibri" w:cs="Sylfaen"/>
                <w:b/>
                <w:sz w:val="20"/>
                <w:szCs w:val="16"/>
                <w:lang w:val="af-ZA"/>
              </w:rPr>
              <w:t>N596-Ն որոշում</w:t>
            </w:r>
          </w:p>
        </w:tc>
      </w:tr>
      <w:tr w14:paraId="51A6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55" w:type="dxa"/>
          </w:tcPr>
          <w:p w14:paraId="001656FE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1535" w:type="dxa"/>
            <w:vAlign w:val="center"/>
          </w:tcPr>
          <w:p w14:paraId="7413F9C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Նախագծման փուլերը</w:t>
            </w:r>
          </w:p>
        </w:tc>
        <w:tc>
          <w:tcPr>
            <w:tcW w:w="8459" w:type="dxa"/>
          </w:tcPr>
          <w:p w14:paraId="3D634222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 փաստաթղթերի կազմը և բովանդակությունը սահմանող կանոնների ապահովում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քաղաքաշինության նախարարի 11.09.2017թ N 128-Ն հրամանի համաձայն Նախագծային աշխատանքների իրականացում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փուլերով(այդ թվում՝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 նախագիծ</w:t>
            </w:r>
            <w:r>
              <w:rPr>
                <w:rFonts w:ascii="GHEA Grapalat" w:hAnsi="GHEA Grapalat" w:cs="Sylfaen"/>
                <w:sz w:val="20"/>
                <w:szCs w:val="16"/>
              </w:rPr>
              <w:t>՝ ծավալատարածական և ճարտարապետահատակագծային լուծումները պատվիրատուի և իրավասու մարմնի հետ նախապես համաձայնեցնելու նպատակով)</w:t>
            </w:r>
          </w:p>
        </w:tc>
      </w:tr>
      <w:tr w14:paraId="13C8F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355" w:type="dxa"/>
          </w:tcPr>
          <w:p w14:paraId="0D60EB38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1535" w:type="dxa"/>
            <w:vAlign w:val="center"/>
          </w:tcPr>
          <w:p w14:paraId="5A2C84FB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Նախագծի կազմը</w:t>
            </w:r>
          </w:p>
          <w:p w14:paraId="78F66F84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8459" w:type="dxa"/>
          </w:tcPr>
          <w:p w14:paraId="21210F18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«Նախագիծ»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«Աշխատանքային</w:t>
            </w:r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 լրակազմում ընդգրկվող (մշակվող) փաստաթղթեր</w:t>
            </w:r>
          </w:p>
          <w:p w14:paraId="72FF8B98">
            <w:pPr>
              <w:pStyle w:val="76"/>
              <w:numPr>
                <w:ilvl w:val="0"/>
                <w:numId w:val="5"/>
              </w:numPr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BB3BB3C">
            <w:pPr>
              <w:pStyle w:val="7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 մաս</w:t>
            </w:r>
          </w:p>
          <w:p w14:paraId="1922CB95">
            <w:pPr>
              <w:pStyle w:val="7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շենքի կահավորման հատակագիծ/</w:t>
            </w:r>
          </w:p>
          <w:p w14:paraId="66E8E459">
            <w:pPr>
              <w:pStyle w:val="76"/>
              <w:numPr>
                <w:ilvl w:val="0"/>
                <w:numId w:val="5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  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0F8D26A4">
            <w:pPr>
              <w:pStyle w:val="76"/>
              <w:numPr>
                <w:ilvl w:val="0"/>
                <w:numId w:val="6"/>
              </w:numPr>
              <w:spacing w:after="200"/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 լուծումներ,</w:t>
            </w:r>
          </w:p>
          <w:p w14:paraId="3510222B">
            <w:pPr>
              <w:pStyle w:val="76"/>
              <w:numPr>
                <w:ilvl w:val="0"/>
                <w:numId w:val="5"/>
              </w:numPr>
              <w:tabs>
                <w:tab w:val="left" w:pos="740"/>
              </w:tabs>
              <w:ind w:left="96" w:hanging="96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</w:p>
          <w:p w14:paraId="46FB9520">
            <w:pPr>
              <w:pStyle w:val="7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կազմակերպման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նախագիծ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C94CDBC">
            <w:pPr>
              <w:pStyle w:val="76"/>
              <w:numPr>
                <w:ilvl w:val="0"/>
                <w:numId w:val="5"/>
              </w:numPr>
              <w:spacing w:after="20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միջավայրի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պահպանմանն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7240A5B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  <w:lang w:val="ru-RU"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ներգախնայողությանն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էներգաարդյունավետությանն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>:</w:t>
            </w: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Համաձայնեցումներ</w:t>
            </w:r>
          </w:p>
          <w:p w14:paraId="7CAE251D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Նախագծի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r>
              <w:rPr>
                <w:rFonts w:ascii="GHEA Grapalat" w:hAnsi="GHEA Grapalat" w:cs="Sylfaen" w:eastAsiaTheme="minorHAnsi"/>
                <w:i/>
                <w:sz w:val="20"/>
                <w:szCs w:val="16"/>
                <w:u w:val="single"/>
              </w:rPr>
              <w:t>համաձայնեցում</w:t>
            </w:r>
          </w:p>
          <w:p w14:paraId="57949C3C">
            <w:pPr>
              <w:pStyle w:val="36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  <w:lang w:val="ru-RU"/>
              </w:rPr>
            </w:pPr>
          </w:p>
          <w:p w14:paraId="4F03BD6E">
            <w:pPr>
              <w:pStyle w:val="76"/>
              <w:numPr>
                <w:ilvl w:val="0"/>
                <w:numId w:val="7"/>
              </w:numPr>
              <w:spacing w:after="120"/>
              <w:ind w:right="283"/>
              <w:jc w:val="both"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bookmarkStart w:id="2" w:name="_Hlk116990918"/>
            <w:r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Նախագծանախահաշվային</w:t>
            </w:r>
            <w:r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 փաստաթղթերի կազմման աշխատանքների ավարտից հետո, նախքան փաթեթի փորձաքննության անցկացումը, նախագիծը  համաձայնեցնել Ալավերդու համայնքապետարանի հետ:</w:t>
            </w:r>
            <w:bookmarkEnd w:id="2"/>
          </w:p>
        </w:tc>
      </w:tr>
      <w:tr w14:paraId="6B42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355" w:type="dxa"/>
          </w:tcPr>
          <w:p w14:paraId="1F0A66CC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1535" w:type="dxa"/>
            <w:vAlign w:val="center"/>
          </w:tcPr>
          <w:p w14:paraId="6D164FFC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r>
              <w:rPr>
                <w:rFonts w:ascii="GHEA Grapalat" w:hAnsi="GHEA Grapalat" w:cs="Sylfaen"/>
                <w:sz w:val="20"/>
                <w:szCs w:val="18"/>
              </w:rPr>
              <w:t>Այլ  պահանջներ</w:t>
            </w:r>
          </w:p>
        </w:tc>
        <w:tc>
          <w:tcPr>
            <w:tcW w:w="8459" w:type="dxa"/>
          </w:tcPr>
          <w:p w14:paraId="0C077960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</w:rPr>
              <w:t>Եզրակացություններ</w:t>
            </w:r>
          </w:p>
          <w:p w14:paraId="15C8110C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 w:eastAsiaTheme="minorHAnsi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Նախագծանախահաշվային փաստաթղթերի մշակման աշխատանքների համար հատկացված ֆինանսական միջոցների շրջանակներում</w:t>
            </w:r>
          </w:p>
          <w:p w14:paraId="19C993C5">
            <w:pPr>
              <w:pStyle w:val="7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hAnsi="GHEA Grapalat" w:cs="Sylfaen" w:eastAsiaTheme="minorHAnsi"/>
                <w:b/>
                <w:sz w:val="20"/>
                <w:szCs w:val="16"/>
              </w:rPr>
            </w:pPr>
            <w:r>
              <w:rPr>
                <w:rFonts w:ascii="GHEA Grapalat" w:hAnsi="GHEA Grapalat" w:cs="Sylfaen" w:eastAsiaTheme="minorHAnsi"/>
                <w:b/>
                <w:sz w:val="20"/>
                <w:szCs w:val="16"/>
              </w:rPr>
              <w:t>Շինարարական նյութերի, պատրաստվածքների (շահագործման) նկատմամբ պահանջներ</w:t>
            </w:r>
          </w:p>
          <w:p w14:paraId="6536B937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>
            <w:pPr>
              <w:pStyle w:val="7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Նախագծում օգտագործվող շինարարական նյութերի, պատրաստվածքների հատկանիշների  մանրամասն և սպառիչ նկարագրում-բնութագրում՝ նախագծի մասնագրերում և նախահաշվում՝ նշելով տվյալ ապրանքը բնութագրող հիմնական տեխնիկական ցուցանիշները:</w:t>
            </w:r>
          </w:p>
          <w:p w14:paraId="7E4EF09A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 հրապարակի կազմակերպման նկատմամբ</w:t>
            </w:r>
            <w:r>
              <w:rPr>
                <w:rFonts w:ascii="GHEA Grapalat" w:hAnsi="GHEA Grapalat" w:cs="Sylfaen"/>
                <w:sz w:val="20"/>
                <w:szCs w:val="16"/>
              </w:rPr>
              <w:t xml:space="preserve"> շինարարական արտադրության կազմակերպման նախագծում ՀՀ օրենսդրությամբ նախատեսված պահանջների ամրագրում.</w:t>
            </w:r>
          </w:p>
          <w:p w14:paraId="35714D84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Տեղական արտադրության և Հայաստան ներմուծվող շինանյութերի օգտագործում</w:t>
            </w:r>
          </w:p>
          <w:p w14:paraId="59CED10B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 փաստաթղթերի մշակում համակարգչային ծրագրով:</w:t>
            </w:r>
          </w:p>
          <w:p w14:paraId="388164D9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</w:rPr>
              <w:t xml:space="preserve">Նախագծանախահաշվային փաստաթղթերի /տեքստային և գծագրական նյութերի, նախահաշվի/ ամբողջական փաթեթի ներկայացում 3 օրինակ՝ փաստաթղթային և էլեկտրոնային՝ AUTO CAD և PDF, նախահաշիվը՝ EXCEL տարբերակներով` </w:t>
            </w: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լրացված միավորի գներով։</w:t>
            </w:r>
          </w:p>
          <w:p w14:paraId="59221013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57069F7D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 xml:space="preserve"> ՀՀ կառավարության 2017 թվականի մայիսի 4-ի «Գնումների գործընթացի կազմակերպման կարգը հաստատելու և ՀՀ կառավարության 2011 թվականի փետրվարի 10-ի N 168-Ն որոշումը ուժը կորցրած ճանաչելու մասին» N 526-Ն որոշման Կարգի 33-րդ կետի 10-րդ ենթակետ.</w:t>
            </w:r>
          </w:p>
          <w:p w14:paraId="34216344">
            <w:pPr>
              <w:shd w:val="clear" w:color="auto" w:fill="FFFFFF"/>
              <w:ind w:left="96" w:hanging="96"/>
              <w:jc w:val="both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նախագծային փաստաթղթերի մշակման ժամանակ նախագծողը`</w:t>
            </w:r>
          </w:p>
          <w:p w14:paraId="7FE9EDE8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ա. շինարարական ծրագրի կատարման համար օգտագործվող նյութերի և (կամ) սարքերի ու սարքավորումների տեխնիկական բնութագրերը կազմում է օրենքի 13-րդ հոդվածի և սույն կարգի 22-րդ կետով նախատեսված պահանջներին համապատասխան,</w:t>
            </w:r>
          </w:p>
          <w:p w14:paraId="4C58E50D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բ. ներկայացնում է կապալի օբյեկտի, դրա առանձին մասերի (կոնստրուկցիաների և այլն) և օգտագործվելիք նյութերի և (կամ) սարքերի ու սարքավորումների երաշխիքային ժամկետներին ներկայացվող նվազագույն պահանջները,</w:t>
            </w:r>
          </w:p>
          <w:p w14:paraId="095802A9">
            <w:pPr>
              <w:pStyle w:val="36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գ. ներկայացնում է աշխատանքների առանձին տեսակների կատարման օրացուցային ժամանակացույցը,</w:t>
            </w:r>
          </w:p>
          <w:p w14:paraId="12D827DA">
            <w:pPr>
              <w:shd w:val="clear" w:color="auto" w:fill="FFFFFF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  <w:t>դ. պատվիրատուին նախագծային փաստաթղթերը ներկայացնում է հայերեն և ռուսերեն լեզուներով՝ թղթային և էլեկտրոնային տարբերակներով.</w:t>
            </w:r>
          </w:p>
          <w:p w14:paraId="7E78F837">
            <w:pPr>
              <w:shd w:val="clear" w:color="auto" w:fill="FFFFFF"/>
              <w:ind w:left="96" w:hanging="96"/>
              <w:rPr>
                <w:rFonts w:ascii="GHEA Grapalat" w:hAnsi="GHEA Grapalat" w:eastAsia="Calibri" w:cs="Sylfaen"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</w:r>
          </w:p>
          <w:p w14:paraId="106AC632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</w:p>
        </w:tc>
      </w:tr>
      <w:tr w14:paraId="6B01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3" w:hRule="atLeast"/>
          <w:jc w:val="center"/>
        </w:trPr>
        <w:tc>
          <w:tcPr>
            <w:tcW w:w="355" w:type="dxa"/>
          </w:tcPr>
          <w:p w14:paraId="63B07F07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1535" w:type="dxa"/>
            <w:vAlign w:val="center"/>
          </w:tcPr>
          <w:p w14:paraId="05061EBE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8459" w:type="dxa"/>
          </w:tcPr>
          <w:tbl>
            <w:tblPr>
              <w:tblStyle w:val="12"/>
              <w:tblpPr w:leftFromText="180" w:rightFromText="180" w:vertAnchor="text" w:horzAnchor="margin" w:tblpXSpec="center" w:tblpY="50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789"/>
              <w:gridCol w:w="5317"/>
            </w:tblGrid>
            <w:tr w14:paraId="4C05482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89" w:type="dxa"/>
                  <w:shd w:val="clear" w:color="auto" w:fill="D5DCE4"/>
                  <w:vAlign w:val="center"/>
                </w:tcPr>
                <w:p w14:paraId="5E20E433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5317" w:type="dxa"/>
                  <w:shd w:val="clear" w:color="auto" w:fill="D5DCE4"/>
                  <w:vAlign w:val="center"/>
                </w:tcPr>
                <w:p w14:paraId="2EDF6A7F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14:paraId="5FD944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89" w:type="dxa"/>
                  <w:vAlign w:val="center"/>
                </w:tcPr>
                <w:p w14:paraId="01AECF7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5317" w:type="dxa"/>
                  <w:vAlign w:val="center"/>
                </w:tcPr>
                <w:p w14:paraId="2A5A28BA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2-րդ դաս</w:t>
                  </w:r>
                </w:p>
              </w:tc>
            </w:tr>
            <w:tr w14:paraId="01D56E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89" w:type="dxa"/>
                  <w:vAlign w:val="center"/>
                </w:tcPr>
                <w:p w14:paraId="2D1C7CE8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ծածկագիրը</w:t>
                  </w:r>
                </w:p>
              </w:tc>
              <w:tc>
                <w:tcPr>
                  <w:tcW w:w="5317" w:type="dxa"/>
                  <w:vAlign w:val="center"/>
                </w:tcPr>
                <w:p w14:paraId="38F09D75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01</w:t>
                  </w:r>
                </w:p>
              </w:tc>
            </w:tr>
            <w:tr w14:paraId="4C7394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62" w:hRule="atLeast"/>
              </w:trPr>
              <w:tc>
                <w:tcPr>
                  <w:tcW w:w="2789" w:type="dxa"/>
                  <w:vAlign w:val="center"/>
                </w:tcPr>
                <w:p w14:paraId="74081AB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5317" w:type="dxa"/>
                  <w:vAlign w:val="center"/>
                </w:tcPr>
                <w:p w14:paraId="45079109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2EE92789">
                  <w:pPr>
                    <w:rPr>
                      <w:rFonts w:ascii="GHEA Grapalat" w:hAnsi="GHEA Grapalat" w:cs="GHEA Grapalat"/>
                      <w:b/>
                      <w:bCs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1․</w:t>
                  </w:r>
                  <w:r>
                    <w:rPr>
                      <w:rFonts w:ascii="GHEA Grapalat" w:hAnsi="GHEA Grapalat" w:eastAsia="CIDFont" w:cs="GHEA Grapalat"/>
                      <w:b/>
                      <w:bCs/>
                      <w:color w:val="000000"/>
                      <w:sz w:val="18"/>
                      <w:szCs w:val="18"/>
                      <w:lang w:eastAsia="zh-CN" w:bidi="ar"/>
                    </w:rPr>
                    <w:t xml:space="preserve">բնակելի, հասարակական և </w:t>
                  </w:r>
                </w:p>
                <w:p w14:paraId="2B1E0156">
                  <w:pPr>
                    <w:rPr>
                      <w:rFonts w:ascii="GHEA Grapalat" w:hAnsi="GHEA Grapalat" w:eastAsia="CIDFont" w:cs="GHEA Grapalat"/>
                      <w:b/>
                      <w:bCs/>
                      <w:color w:val="000000"/>
                      <w:sz w:val="18"/>
                      <w:szCs w:val="18"/>
                      <w:lang w:eastAsia="zh-CN" w:bidi="ar"/>
                    </w:rPr>
                  </w:pPr>
                  <w:r>
                    <w:rPr>
                      <w:rFonts w:ascii="GHEA Grapalat" w:hAnsi="GHEA Grapalat" w:eastAsia="CIDFont" w:cs="GHEA Grapalat"/>
                      <w:b/>
                      <w:bCs/>
                      <w:color w:val="000000"/>
                      <w:sz w:val="18"/>
                      <w:szCs w:val="18"/>
                      <w:lang w:eastAsia="zh-CN" w:bidi="ar"/>
                    </w:rPr>
                    <w:t>արտադրական կառույցներ</w:t>
                  </w:r>
                </w:p>
                <w:p w14:paraId="56FE2AE9">
                  <w:pPr>
                    <w:rPr>
                      <w:rFonts w:ascii="GHEA Grapalat" w:hAnsi="GHEA Grapalat" w:eastAsia="CIDFont" w:cs="GHEA Grapalat"/>
                      <w:b/>
                      <w:bCs/>
                      <w:color w:val="000000"/>
                      <w:sz w:val="18"/>
                      <w:szCs w:val="18"/>
                      <w:lang w:eastAsia="zh-CN" w:bidi="ar"/>
                    </w:rPr>
                  </w:pPr>
                  <w:r>
                    <w:rPr>
                      <w:rFonts w:ascii="GHEA Grapalat" w:hAnsi="GHEA Grapalat" w:eastAsia="CIDFont" w:cs="GHEA Grapalat"/>
                      <w:b/>
                      <w:bCs/>
                      <w:color w:val="000000"/>
                      <w:sz w:val="18"/>
                      <w:szCs w:val="18"/>
                      <w:lang w:val="hy-AM" w:eastAsia="zh-CN" w:bidi="ar"/>
                    </w:rPr>
                    <w:t xml:space="preserve"> </w:t>
                  </w:r>
                  <w:r>
                    <w:rPr>
                      <w:rFonts w:hint="default" w:ascii="GHEA Grapalat" w:hAnsi="GHEA Grapalat" w:eastAsia="CIDFont" w:cs="GHEA Grapalat"/>
                      <w:b/>
                      <w:bCs/>
                      <w:color w:val="000000"/>
                      <w:sz w:val="18"/>
                      <w:szCs w:val="18"/>
                      <w:lang w:val="hy-AM" w:eastAsia="zh-CN" w:bidi="ar"/>
                    </w:rPr>
                    <w:t>2․</w:t>
                  </w:r>
                  <w:r>
                    <w:rPr>
                      <w:rFonts w:ascii="GHEA Grapalat" w:hAnsi="GHEA Grapalat" w:eastAsia="CIDFont" w:cs="GHEA Grapalat"/>
                      <w:b/>
                      <w:bCs/>
                      <w:color w:val="000000"/>
                      <w:sz w:val="18"/>
                      <w:szCs w:val="18"/>
                      <w:lang w:val="hy-AM" w:eastAsia="zh-CN" w:bidi="ar"/>
                    </w:rPr>
                    <w:t>էլեկտրամատակարում (էլեկտրամատակարարման էլեկտրալուսավորման, ներքին և արտաքին ցանցեր, էլեկտրամատակարարման համակարգեր, ֆոտովոլտային և հողմաէներգետիկ կայաններ),</w:t>
                  </w:r>
                </w:p>
                <w:p w14:paraId="01AFB086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  <w:p w14:paraId="75F4D3F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56D6016A">
            <w:pPr>
              <w:pStyle w:val="36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14:paraId="2434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355" w:type="dxa"/>
          </w:tcPr>
          <w:p w14:paraId="60F2FD33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1535" w:type="dxa"/>
            <w:vAlign w:val="center"/>
          </w:tcPr>
          <w:p w14:paraId="64E8765A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8459" w:type="dxa"/>
          </w:tcPr>
          <w:p w14:paraId="4022EE4B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30 օրացույցային օրից, հաշված պայմանագրով նախատեսված ծառայությունների մեկնարկի օրվանից:</w:t>
            </w:r>
          </w:p>
          <w:p w14:paraId="0D9158FE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>
            <w:pPr>
              <w:shd w:val="clear" w:color="auto" w:fill="FFFFFF"/>
              <w:ind w:left="96" w:hanging="96"/>
              <w:rPr>
                <w:rFonts w:ascii="GHEA Grapalat" w:hAnsi="GHEA Grapalat" w:cs="Sylfaen" w:eastAsiaTheme="minorHAnsi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>
      <w:pPr>
        <w:rPr>
          <w:rFonts w:ascii="GHEA Grapalat" w:hAnsi="GHEA Grapalat"/>
          <w:sz w:val="20"/>
          <w:lang w:val="hy-AM"/>
        </w:rPr>
      </w:pPr>
    </w:p>
    <w:p w14:paraId="739E010D">
      <w:pPr>
        <w:jc w:val="center"/>
        <w:rPr>
          <w:rFonts w:ascii="GHEA Grapalat" w:hAnsi="GHEA Grapalat"/>
          <w:sz w:val="20"/>
          <w:lang w:val="af-ZA"/>
        </w:rPr>
      </w:pPr>
    </w:p>
    <w:p w14:paraId="78917276">
      <w:pPr>
        <w:ind w:left="240" w:leftChars="100"/>
        <w:rPr>
          <w:rFonts w:ascii="GHEA Grapalat" w:hAnsi="GHEA Grapalat" w:eastAsia="Microsoft JhengHei" w:cs="GHEA Grapalat"/>
          <w:lang w:val="hy-AM"/>
        </w:rPr>
      </w:pPr>
      <w:r>
        <w:rPr>
          <w:rFonts w:ascii="GHEA Grapalat" w:hAnsi="GHEA Grapalat" w:cs="GHEA Grapalat"/>
        </w:rPr>
        <w:t>Պատասխանատու</w:t>
      </w:r>
      <w:r>
        <w:rPr>
          <w:rFonts w:ascii="GHEA Grapalat" w:hAnsi="GHEA Grapalat" w:cs="GHEA Grapalat"/>
          <w:lang w:val="ro-RO"/>
        </w:rPr>
        <w:t xml:space="preserve"> </w:t>
      </w:r>
      <w:r>
        <w:rPr>
          <w:rFonts w:ascii="GHEA Grapalat" w:hAnsi="GHEA Grapalat" w:cs="GHEA Grapalat"/>
        </w:rPr>
        <w:t>ստորաբաժանում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eastAsia="Microsoft JhengHei" w:cs="GHEA Grapalat"/>
          <w:lang w:val="hy-AM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eastAsia="Microsoft JhengHei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hAnsi="GHEA Grapalat" w:eastAsia="Microsoft JhengHei" w:cs="GHEA Grapalat"/>
          <w:lang w:val="hy-AM"/>
        </w:rPr>
        <w:tab/>
      </w:r>
    </w:p>
    <w:p w14:paraId="6790D72F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Լիանա Կոստանդյան</w:t>
      </w:r>
    </w:p>
    <w:p w14:paraId="1CF5EE00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536C0AFD">
      <w:pPr>
        <w:ind w:left="4200"/>
        <w:rPr>
          <w:rFonts w:ascii="GHEA Grapalat" w:hAnsi="GHEA Grapalat" w:cs="GHEA Grapalat"/>
          <w:sz w:val="22"/>
          <w:szCs w:val="22"/>
          <w:lang w:val="hy-AM"/>
        </w:rPr>
      </w:pPr>
    </w:p>
    <w:p w14:paraId="15E41D42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Սամվել Թորոսյան</w:t>
      </w:r>
    </w:p>
    <w:p w14:paraId="07349C0A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1957237D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Հայկասար Գալստյան</w:t>
      </w:r>
    </w:p>
    <w:p w14:paraId="699C157F">
      <w:pPr>
        <w:ind w:left="5040" w:leftChars="2100"/>
        <w:rPr>
          <w:rFonts w:ascii="GHEA Grapalat" w:hAnsi="GHEA Grapalat" w:cs="GHEA Grapalat"/>
          <w:sz w:val="22"/>
          <w:szCs w:val="22"/>
          <w:lang w:val="hy-AM"/>
        </w:rPr>
      </w:pPr>
    </w:p>
    <w:p w14:paraId="598C577A">
      <w:pPr>
        <w:ind w:left="5040" w:leftChars="2100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eastAsia="Microsoft JhengHei" w:cs="GHEA Grapalat"/>
          <w:sz w:val="22"/>
          <w:szCs w:val="22"/>
          <w:lang w:val="hy-AM"/>
        </w:rPr>
        <w:t>Պավել Պապոյան</w:t>
      </w:r>
    </w:p>
    <w:sectPr>
      <w:footnotePr>
        <w:pos w:val="beneathText"/>
      </w:footnotePr>
      <w:pgSz w:w="11906" w:h="16838"/>
      <w:pgMar w:top="568" w:right="849" w:bottom="720" w:left="993" w:header="561" w:footer="56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Arial AM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Armenian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Baltica"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Arial AMU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 Unicode">
    <w:altName w:val="Arial"/>
    <w:panose1 w:val="020B0604020202020204"/>
    <w:charset w:val="CC"/>
    <w:family w:val="swiss"/>
    <w:pitch w:val="default"/>
    <w:sig w:usb0="00000000" w:usb1="00000000" w:usb2="00000000" w:usb3="00000000" w:csb0="4000009F" w:csb1="DFD74000"/>
  </w:font>
  <w:font w:name="Times LatArm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7F" w:usb3="00000000" w:csb0="003F01FF" w:csb1="00000000"/>
  </w:font>
  <w:font w:name="Times LatRu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ID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60FF2"/>
    <w:multiLevelType w:val="multilevel"/>
    <w:tmpl w:val="0DC60FF2"/>
    <w:lvl w:ilvl="0" w:tentative="0">
      <w:start w:val="12"/>
      <w:numFmt w:val="bullet"/>
      <w:lvlText w:val="-"/>
      <w:lvlJc w:val="left"/>
      <w:pPr>
        <w:ind w:left="4230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D305E64"/>
    <w:multiLevelType w:val="multilevel"/>
    <w:tmpl w:val="1D305E6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8315D"/>
    <w:multiLevelType w:val="multilevel"/>
    <w:tmpl w:val="29B8315D"/>
    <w:lvl w:ilvl="0" w:tentative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55" w:hanging="360"/>
      </w:pPr>
    </w:lvl>
    <w:lvl w:ilvl="2" w:tentative="0">
      <w:start w:val="1"/>
      <w:numFmt w:val="lowerRoman"/>
      <w:lvlText w:val="%3."/>
      <w:lvlJc w:val="right"/>
      <w:pPr>
        <w:ind w:left="2175" w:hanging="180"/>
      </w:pPr>
    </w:lvl>
    <w:lvl w:ilvl="3" w:tentative="0">
      <w:start w:val="1"/>
      <w:numFmt w:val="decimal"/>
      <w:lvlText w:val="%4."/>
      <w:lvlJc w:val="left"/>
      <w:pPr>
        <w:ind w:left="2895" w:hanging="360"/>
      </w:pPr>
    </w:lvl>
    <w:lvl w:ilvl="4" w:tentative="0">
      <w:start w:val="1"/>
      <w:numFmt w:val="lowerLetter"/>
      <w:lvlText w:val="%5."/>
      <w:lvlJc w:val="left"/>
      <w:pPr>
        <w:ind w:left="3615" w:hanging="360"/>
      </w:pPr>
    </w:lvl>
    <w:lvl w:ilvl="5" w:tentative="0">
      <w:start w:val="1"/>
      <w:numFmt w:val="lowerRoman"/>
      <w:lvlText w:val="%6."/>
      <w:lvlJc w:val="right"/>
      <w:pPr>
        <w:ind w:left="4335" w:hanging="180"/>
      </w:pPr>
    </w:lvl>
    <w:lvl w:ilvl="6" w:tentative="0">
      <w:start w:val="1"/>
      <w:numFmt w:val="decimal"/>
      <w:lvlText w:val="%7."/>
      <w:lvlJc w:val="left"/>
      <w:pPr>
        <w:ind w:left="5055" w:hanging="360"/>
      </w:pPr>
    </w:lvl>
    <w:lvl w:ilvl="7" w:tentative="0">
      <w:start w:val="1"/>
      <w:numFmt w:val="lowerLetter"/>
      <w:lvlText w:val="%8."/>
      <w:lvlJc w:val="left"/>
      <w:pPr>
        <w:ind w:left="5775" w:hanging="360"/>
      </w:pPr>
    </w:lvl>
    <w:lvl w:ilvl="8" w:tentative="0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34392715"/>
    <w:multiLevelType w:val="multilevel"/>
    <w:tmpl w:val="34392715"/>
    <w:lvl w:ilvl="0" w:tentative="0">
      <w:start w:val="1"/>
      <w:numFmt w:val="decimal"/>
      <w:lvlText w:val="%1)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6B154CA0"/>
    <w:multiLevelType w:val="multilevel"/>
    <w:tmpl w:val="6B154CA0"/>
    <w:lvl w:ilvl="0" w:tentative="0">
      <w:start w:val="0"/>
      <w:numFmt w:val="bullet"/>
      <w:lvlText w:val="-"/>
      <w:lvlJc w:val="left"/>
      <w:pPr>
        <w:ind w:left="934" w:hanging="360"/>
      </w:pPr>
      <w:rPr>
        <w:rFonts w:hint="default" w:ascii="GHEA Grapalat" w:hAnsi="GHEA Grapalat" w:eastAsia="Calibri" w:cs="Sylfaen"/>
      </w:rPr>
    </w:lvl>
    <w:lvl w:ilvl="1" w:tentative="0">
      <w:start w:val="1"/>
      <w:numFmt w:val="bullet"/>
      <w:lvlText w:val="o"/>
      <w:lvlJc w:val="left"/>
      <w:pPr>
        <w:ind w:left="165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4" w:hanging="360"/>
      </w:pPr>
      <w:rPr>
        <w:rFonts w:hint="default" w:ascii="Wingdings" w:hAnsi="Wingdings"/>
      </w:rPr>
    </w:lvl>
  </w:abstractNum>
  <w:abstractNum w:abstractNumId="5">
    <w:nsid w:val="7725150C"/>
    <w:multiLevelType w:val="multilevel"/>
    <w:tmpl w:val="7725150C"/>
    <w:lvl w:ilvl="0" w:tentative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 w:tentative="0">
      <w:start w:val="1"/>
      <w:numFmt w:val="lowerLetter"/>
      <w:lvlText w:val="%2."/>
      <w:lvlJc w:val="left"/>
      <w:pPr>
        <w:ind w:left="1292" w:hanging="360"/>
      </w:pPr>
    </w:lvl>
    <w:lvl w:ilvl="2" w:tentative="0">
      <w:start w:val="1"/>
      <w:numFmt w:val="lowerRoman"/>
      <w:lvlText w:val="%3."/>
      <w:lvlJc w:val="right"/>
      <w:pPr>
        <w:ind w:left="2012" w:hanging="180"/>
      </w:pPr>
    </w:lvl>
    <w:lvl w:ilvl="3" w:tentative="0">
      <w:start w:val="1"/>
      <w:numFmt w:val="decimal"/>
      <w:lvlText w:val="%4."/>
      <w:lvlJc w:val="left"/>
      <w:pPr>
        <w:ind w:left="2732" w:hanging="360"/>
      </w:pPr>
    </w:lvl>
    <w:lvl w:ilvl="4" w:tentative="0">
      <w:start w:val="1"/>
      <w:numFmt w:val="lowerLetter"/>
      <w:lvlText w:val="%5."/>
      <w:lvlJc w:val="left"/>
      <w:pPr>
        <w:ind w:left="3452" w:hanging="360"/>
      </w:pPr>
    </w:lvl>
    <w:lvl w:ilvl="5" w:tentative="0">
      <w:start w:val="1"/>
      <w:numFmt w:val="lowerRoman"/>
      <w:lvlText w:val="%6."/>
      <w:lvlJc w:val="right"/>
      <w:pPr>
        <w:ind w:left="4172" w:hanging="180"/>
      </w:pPr>
    </w:lvl>
    <w:lvl w:ilvl="6" w:tentative="0">
      <w:start w:val="1"/>
      <w:numFmt w:val="decimal"/>
      <w:lvlText w:val="%7."/>
      <w:lvlJc w:val="left"/>
      <w:pPr>
        <w:ind w:left="4892" w:hanging="360"/>
      </w:pPr>
    </w:lvl>
    <w:lvl w:ilvl="7" w:tentative="0">
      <w:start w:val="1"/>
      <w:numFmt w:val="lowerLetter"/>
      <w:lvlText w:val="%8."/>
      <w:lvlJc w:val="left"/>
      <w:pPr>
        <w:ind w:left="5612" w:hanging="360"/>
      </w:pPr>
    </w:lvl>
    <w:lvl w:ilvl="8" w:tentative="0">
      <w:start w:val="1"/>
      <w:numFmt w:val="lowerRoman"/>
      <w:lvlText w:val="%9."/>
      <w:lvlJc w:val="right"/>
      <w:pPr>
        <w:ind w:left="6332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141"/>
  <w:noPunctuationKerning w:val="1"/>
  <w:characterSpacingControl w:val="doNotCompress"/>
  <w:footnotePr>
    <w:pos w:val="beneathText"/>
  </w:footnotePr>
  <w:endnotePr>
    <w:pos w:val="sectEnd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341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2D45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9B8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350"/>
    <w:rsid w:val="00477986"/>
    <w:rsid w:val="00480162"/>
    <w:rsid w:val="004813B3"/>
    <w:rsid w:val="00481B60"/>
    <w:rsid w:val="004830AB"/>
    <w:rsid w:val="00483944"/>
    <w:rsid w:val="00483FAF"/>
    <w:rsid w:val="0048419C"/>
    <w:rsid w:val="00484569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60E6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47CB3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520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931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0766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B70DC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3E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47FA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D02"/>
    <w:rsid w:val="00DC1B3F"/>
    <w:rsid w:val="00DC2A95"/>
    <w:rsid w:val="00DC320D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27CFC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0D1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20A42432"/>
    <w:rsid w:val="2AA93EDE"/>
    <w:rsid w:val="37FD197F"/>
    <w:rsid w:val="385A09B5"/>
    <w:rsid w:val="3E973DCB"/>
    <w:rsid w:val="465B7600"/>
    <w:rsid w:val="4B5E2643"/>
    <w:rsid w:val="4C4F073F"/>
    <w:rsid w:val="55597C52"/>
    <w:rsid w:val="58E27DD4"/>
    <w:rsid w:val="5ED20339"/>
    <w:rsid w:val="619358A6"/>
    <w:rsid w:val="62587CB8"/>
    <w:rsid w:val="68465A47"/>
    <w:rsid w:val="6F460A9E"/>
    <w:rsid w:val="740B7BA8"/>
    <w:rsid w:val="7716264F"/>
    <w:rsid w:val="77F9253F"/>
    <w:rsid w:val="7DB1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41"/>
    <w:qFormat/>
    <w:uiPriority w:val="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3">
    <w:name w:val="heading 2"/>
    <w:basedOn w:val="1"/>
    <w:next w:val="1"/>
    <w:link w:val="58"/>
    <w:qFormat/>
    <w:uiPriority w:val="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4">
    <w:name w:val="heading 3"/>
    <w:basedOn w:val="1"/>
    <w:next w:val="1"/>
    <w:link w:val="42"/>
    <w:qFormat/>
    <w:uiPriority w:val="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5">
    <w:name w:val="heading 4"/>
    <w:basedOn w:val="1"/>
    <w:next w:val="1"/>
    <w:link w:val="60"/>
    <w:qFormat/>
    <w:uiPriority w:val="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6">
    <w:name w:val="heading 5"/>
    <w:basedOn w:val="1"/>
    <w:next w:val="1"/>
    <w:link w:val="61"/>
    <w:qFormat/>
    <w:uiPriority w:val="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7">
    <w:name w:val="heading 6"/>
    <w:basedOn w:val="1"/>
    <w:next w:val="1"/>
    <w:link w:val="62"/>
    <w:qFormat/>
    <w:uiPriority w:val="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8">
    <w:name w:val="heading 7"/>
    <w:basedOn w:val="1"/>
    <w:next w:val="1"/>
    <w:link w:val="43"/>
    <w:qFormat/>
    <w:uiPriority w:val="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9">
    <w:name w:val="heading 8"/>
    <w:basedOn w:val="1"/>
    <w:next w:val="1"/>
    <w:link w:val="44"/>
    <w:qFormat/>
    <w:uiPriority w:val="0"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10">
    <w:name w:val="heading 9"/>
    <w:basedOn w:val="1"/>
    <w:next w:val="1"/>
    <w:link w:val="65"/>
    <w:qFormat/>
    <w:uiPriority w:val="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qFormat/>
    <w:uiPriority w:val="0"/>
    <w:rPr>
      <w:color w:val="800080"/>
      <w:u w:val="single"/>
    </w:rPr>
  </w:style>
  <w:style w:type="character" w:styleId="14">
    <w:name w:val="footnote reference"/>
    <w:semiHidden/>
    <w:qFormat/>
    <w:uiPriority w:val="0"/>
    <w:rPr>
      <w:vertAlign w:val="superscript"/>
    </w:rPr>
  </w:style>
  <w:style w:type="character" w:styleId="15">
    <w:name w:val="annotation reference"/>
    <w:semiHidden/>
    <w:qFormat/>
    <w:uiPriority w:val="0"/>
    <w:rPr>
      <w:sz w:val="16"/>
      <w:szCs w:val="16"/>
    </w:rPr>
  </w:style>
  <w:style w:type="character" w:styleId="16">
    <w:name w:val="endnote reference"/>
    <w:semiHidden/>
    <w:qFormat/>
    <w:uiPriority w:val="0"/>
    <w:rPr>
      <w:vertAlign w:val="superscript"/>
    </w:rPr>
  </w:style>
  <w:style w:type="character" w:styleId="17">
    <w:name w:val="Emphasis"/>
    <w:qFormat/>
    <w:uiPriority w:val="0"/>
    <w:rPr>
      <w:i/>
      <w:iCs/>
    </w:rPr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page number"/>
    <w:basedOn w:val="11"/>
    <w:qFormat/>
    <w:uiPriority w:val="0"/>
  </w:style>
  <w:style w:type="character" w:styleId="20">
    <w:name w:val="Strong"/>
    <w:qFormat/>
    <w:uiPriority w:val="22"/>
    <w:rPr>
      <w:b/>
      <w:bCs/>
    </w:rPr>
  </w:style>
  <w:style w:type="paragraph" w:styleId="21">
    <w:name w:val="Balloon Text"/>
    <w:basedOn w:val="1"/>
    <w:link w:val="49"/>
    <w:qFormat/>
    <w:uiPriority w:val="0"/>
    <w:rPr>
      <w:rFonts w:ascii="Tahoma" w:hAnsi="Tahoma"/>
      <w:sz w:val="16"/>
      <w:szCs w:val="16"/>
      <w:lang w:val="zh-CN" w:eastAsia="zh-CN"/>
    </w:rPr>
  </w:style>
  <w:style w:type="paragraph" w:styleId="22">
    <w:name w:val="Body Text 2"/>
    <w:basedOn w:val="1"/>
    <w:link w:val="68"/>
    <w:qFormat/>
    <w:uiPriority w:val="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3"/>
    <w:basedOn w:val="1"/>
    <w:link w:val="111"/>
    <w:qFormat/>
    <w:uiPriority w:val="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4">
    <w:name w:val="endnote text"/>
    <w:basedOn w:val="1"/>
    <w:link w:val="115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5">
    <w:name w:val="annotation text"/>
    <w:basedOn w:val="1"/>
    <w:link w:val="113"/>
    <w:semiHidden/>
    <w:qFormat/>
    <w:uiPriority w:val="0"/>
    <w:rPr>
      <w:rFonts w:ascii="Times Armenian" w:hAnsi="Times Armenian"/>
      <w:sz w:val="20"/>
      <w:szCs w:val="20"/>
      <w:lang w:eastAsia="ru-RU"/>
    </w:rPr>
  </w:style>
  <w:style w:type="paragraph" w:styleId="26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27">
    <w:name w:val="annotation subject"/>
    <w:basedOn w:val="25"/>
    <w:next w:val="25"/>
    <w:link w:val="114"/>
    <w:semiHidden/>
    <w:qFormat/>
    <w:uiPriority w:val="0"/>
    <w:rPr>
      <w:b/>
      <w:bCs/>
    </w:rPr>
  </w:style>
  <w:style w:type="paragraph" w:styleId="28">
    <w:name w:val="Document Map"/>
    <w:basedOn w:val="1"/>
    <w:link w:val="116"/>
    <w:semiHidden/>
    <w:qFormat/>
    <w:uiPriority w:val="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29">
    <w:name w:val="footnote text"/>
    <w:basedOn w:val="1"/>
    <w:link w:val="107"/>
    <w:semiHidden/>
    <w:qFormat/>
    <w:uiPriority w:val="0"/>
    <w:rPr>
      <w:rFonts w:ascii="Times Armenian" w:hAnsi="Times Armenian"/>
      <w:sz w:val="20"/>
      <w:szCs w:val="20"/>
      <w:lang w:val="zh-CN" w:eastAsia="ru-RU"/>
    </w:rPr>
  </w:style>
  <w:style w:type="paragraph" w:styleId="30">
    <w:name w:val="header"/>
    <w:basedOn w:val="1"/>
    <w:link w:val="69"/>
    <w:qFormat/>
    <w:uiPriority w:val="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1">
    <w:name w:val="Body Text"/>
    <w:basedOn w:val="1"/>
    <w:link w:val="51"/>
    <w:qFormat/>
    <w:uiPriority w:val="0"/>
    <w:pPr>
      <w:spacing w:after="120"/>
    </w:pPr>
  </w:style>
  <w:style w:type="paragraph" w:styleId="32">
    <w:name w:val="index heading"/>
    <w:basedOn w:val="1"/>
    <w:next w:val="26"/>
    <w:semiHidden/>
    <w:qFormat/>
    <w:uiPriority w:val="0"/>
    <w:rPr>
      <w:sz w:val="20"/>
      <w:szCs w:val="20"/>
      <w:lang w:val="en-AU" w:eastAsia="ru-RU"/>
    </w:rPr>
  </w:style>
  <w:style w:type="paragraph" w:styleId="33">
    <w:name w:val="Body Text Indent"/>
    <w:basedOn w:val="1"/>
    <w:link w:val="45"/>
    <w:qFormat/>
    <w:uiPriority w:val="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34">
    <w:name w:val="Title"/>
    <w:basedOn w:val="1"/>
    <w:link w:val="52"/>
    <w:qFormat/>
    <w:uiPriority w:val="0"/>
    <w:pPr>
      <w:jc w:val="center"/>
    </w:pPr>
    <w:rPr>
      <w:rFonts w:ascii="Arial Armenian" w:hAnsi="Arial Armenian"/>
      <w:szCs w:val="20"/>
    </w:rPr>
  </w:style>
  <w:style w:type="paragraph" w:styleId="35">
    <w:name w:val="footer"/>
    <w:basedOn w:val="1"/>
    <w:link w:val="46"/>
    <w:qFormat/>
    <w:uiPriority w:val="0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36">
    <w:name w:val="Normal (Web)"/>
    <w:basedOn w:val="1"/>
    <w:link w:val="120"/>
    <w:qFormat/>
    <w:uiPriority w:val="99"/>
    <w:pPr>
      <w:spacing w:before="100" w:beforeAutospacing="1" w:after="100" w:afterAutospacing="1"/>
    </w:pPr>
  </w:style>
  <w:style w:type="paragraph" w:styleId="37">
    <w:name w:val="Body Text 3"/>
    <w:basedOn w:val="1"/>
    <w:link w:val="70"/>
    <w:qFormat/>
    <w:uiPriority w:val="0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38">
    <w:name w:val="Body Text Indent 2"/>
    <w:basedOn w:val="1"/>
    <w:link w:val="67"/>
    <w:qFormat/>
    <w:uiPriority w:val="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39">
    <w:name w:val="Block Text"/>
    <w:basedOn w:val="1"/>
    <w:qFormat/>
    <w:uiPriority w:val="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40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">
    <w:name w:val="Заголовок 1 Знак"/>
    <w:link w:val="2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42">
    <w:name w:val="Заголовок 3 Знак"/>
    <w:link w:val="4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3">
    <w:name w:val="Заголовок 7 Знак"/>
    <w:link w:val="8"/>
    <w:qFormat/>
    <w:uiPriority w:val="0"/>
    <w:rPr>
      <w:rFonts w:ascii="Times Armenian" w:hAnsi="Times Armenian"/>
      <w:b/>
      <w:lang w:val="hy-AM" w:eastAsia="ru-RU" w:bidi="ar-SA"/>
    </w:rPr>
  </w:style>
  <w:style w:type="character" w:customStyle="1" w:styleId="44">
    <w:name w:val="Заголовок 8 Знак"/>
    <w:link w:val="9"/>
    <w:qFormat/>
    <w:locked/>
    <w:uiPriority w:val="0"/>
    <w:rPr>
      <w:rFonts w:ascii="Times Armenian" w:hAnsi="Times Armenian"/>
      <w:i/>
      <w:lang w:val="nl-NL" w:eastAsia="zh-CN" w:bidi="ar-SA"/>
    </w:rPr>
  </w:style>
  <w:style w:type="character" w:customStyle="1" w:styleId="45">
    <w:name w:val="Основной текст с отступом Знак"/>
    <w:link w:val="33"/>
    <w:qFormat/>
    <w:uiPriority w:val="0"/>
    <w:rPr>
      <w:rFonts w:ascii="Arial LatArm" w:hAnsi="Arial LatArm"/>
      <w:i/>
      <w:lang w:val="en-AU" w:eastAsia="en-US" w:bidi="ar-SA"/>
    </w:rPr>
  </w:style>
  <w:style w:type="character" w:customStyle="1" w:styleId="46">
    <w:name w:val="Нижний колонтитул Знак"/>
    <w:link w:val="35"/>
    <w:qFormat/>
    <w:uiPriority w:val="0"/>
    <w:rPr>
      <w:lang w:val="en-US" w:eastAsia="en-US" w:bidi="ar-SA"/>
    </w:rPr>
  </w:style>
  <w:style w:type="paragraph" w:customStyle="1" w:styleId="47">
    <w:name w:val="Char"/>
    <w:basedOn w:val="1"/>
    <w:semiHidden/>
    <w:qFormat/>
    <w:uiPriority w:val="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48">
    <w:name w:val="Default"/>
    <w:qFormat/>
    <w:uiPriority w:val="0"/>
    <w:pPr>
      <w:autoSpaceDE w:val="0"/>
      <w:autoSpaceDN w:val="0"/>
      <w:adjustRightInd w:val="0"/>
    </w:pPr>
    <w:rPr>
      <w:rFonts w:ascii="Arial Unicode" w:hAnsi="Arial Unicode" w:eastAsia="Times New Roman" w:cs="Arial Unicode"/>
      <w:color w:val="000000"/>
      <w:sz w:val="24"/>
      <w:szCs w:val="24"/>
      <w:lang w:val="ru-RU" w:eastAsia="ru-RU" w:bidi="ar-SA"/>
    </w:rPr>
  </w:style>
  <w:style w:type="character" w:customStyle="1" w:styleId="49">
    <w:name w:val="Текст выноски Знак"/>
    <w:link w:val="21"/>
    <w:qFormat/>
    <w:uiPriority w:val="0"/>
    <w:rPr>
      <w:rFonts w:ascii="Tahoma" w:hAnsi="Tahoma" w:cs="Tahoma"/>
      <w:sz w:val="16"/>
      <w:szCs w:val="16"/>
    </w:rPr>
  </w:style>
  <w:style w:type="character" w:customStyle="1" w:styleId="50">
    <w:name w:val="Char Char1"/>
    <w:qFormat/>
    <w:locked/>
    <w:uiPriority w:val="0"/>
    <w:rPr>
      <w:rFonts w:ascii="Arial LatArm" w:hAnsi="Arial LatArm"/>
      <w:i/>
      <w:lang w:val="en-AU" w:eastAsia="en-US" w:bidi="ar-SA"/>
    </w:rPr>
  </w:style>
  <w:style w:type="character" w:customStyle="1" w:styleId="51">
    <w:name w:val="Основной текст Знак"/>
    <w:link w:val="31"/>
    <w:qFormat/>
    <w:uiPriority w:val="0"/>
    <w:rPr>
      <w:sz w:val="24"/>
      <w:szCs w:val="24"/>
      <w:lang w:val="en-US" w:eastAsia="en-US" w:bidi="ar-SA"/>
    </w:rPr>
  </w:style>
  <w:style w:type="character" w:customStyle="1" w:styleId="52">
    <w:name w:val="Заголовок Знак"/>
    <w:link w:val="34"/>
    <w:qFormat/>
    <w:uiPriority w:val="0"/>
    <w:rPr>
      <w:rFonts w:ascii="Arial Armenian" w:hAnsi="Arial Armenian"/>
      <w:sz w:val="24"/>
      <w:lang w:val="en-US" w:eastAsia="en-US" w:bidi="ar-SA"/>
    </w:rPr>
  </w:style>
  <w:style w:type="paragraph" w:customStyle="1" w:styleId="53">
    <w:name w:val="Char Char Char Char Char Char Char Char Char Char Char Char"/>
    <w:basedOn w:val="1"/>
    <w:qFormat/>
    <w:uiPriority w:val="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54">
    <w:name w:val="norm"/>
    <w:basedOn w:val="1"/>
    <w:qFormat/>
    <w:uiPriority w:val="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55">
    <w:name w:val="norm Char"/>
    <w:qFormat/>
    <w:locked/>
    <w:uiPriority w:val="0"/>
    <w:rPr>
      <w:rFonts w:ascii="Arial Armenian" w:hAnsi="Arial Armenian"/>
      <w:sz w:val="22"/>
      <w:lang w:val="en-US" w:eastAsia="ru-RU" w:bidi="ar-SA"/>
    </w:rPr>
  </w:style>
  <w:style w:type="character" w:customStyle="1" w:styleId="56">
    <w:name w:val="Char Char Char"/>
    <w:qFormat/>
    <w:uiPriority w:val="0"/>
    <w:rPr>
      <w:rFonts w:ascii="Arial LatArm" w:hAnsi="Arial LatArm"/>
      <w:sz w:val="24"/>
      <w:lang w:eastAsia="ru-RU"/>
    </w:rPr>
  </w:style>
  <w:style w:type="character" w:customStyle="1" w:styleId="57">
    <w:name w:val="Char Char22"/>
    <w:qFormat/>
    <w:uiPriority w:val="0"/>
    <w:rPr>
      <w:rFonts w:ascii="Arial Armenian" w:hAnsi="Arial Armenian"/>
      <w:sz w:val="28"/>
      <w:lang w:val="en-US"/>
    </w:rPr>
  </w:style>
  <w:style w:type="character" w:customStyle="1" w:styleId="58">
    <w:name w:val="Заголовок 2 Знак"/>
    <w:link w:val="3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character" w:customStyle="1" w:styleId="59">
    <w:name w:val="Char Char20"/>
    <w:qFormat/>
    <w:uiPriority w:val="0"/>
    <w:rPr>
      <w:rFonts w:ascii="Times LatArm" w:hAnsi="Times LatArm"/>
      <w:b/>
      <w:sz w:val="28"/>
      <w:lang w:val="en-US"/>
    </w:rPr>
  </w:style>
  <w:style w:type="character" w:customStyle="1" w:styleId="60">
    <w:name w:val="Заголовок 4 Знак"/>
    <w:link w:val="5"/>
    <w:qFormat/>
    <w:uiPriority w:val="0"/>
    <w:rPr>
      <w:rFonts w:ascii="Arial LatArm" w:hAnsi="Arial LatArm"/>
      <w:i/>
      <w:sz w:val="18"/>
      <w:lang w:val="en-US" w:eastAsia="en-US" w:bidi="ar-SA"/>
    </w:rPr>
  </w:style>
  <w:style w:type="character" w:customStyle="1" w:styleId="61">
    <w:name w:val="Заголовок 5 Знак"/>
    <w:link w:val="6"/>
    <w:qFormat/>
    <w:uiPriority w:val="0"/>
    <w:rPr>
      <w:rFonts w:ascii="Arial LatArm" w:hAnsi="Arial LatArm"/>
      <w:b/>
      <w:sz w:val="26"/>
      <w:lang w:val="en-US" w:eastAsia="ru-RU" w:bidi="ar-SA"/>
    </w:rPr>
  </w:style>
  <w:style w:type="character" w:customStyle="1" w:styleId="62">
    <w:name w:val="Заголовок 6 Знак"/>
    <w:link w:val="7"/>
    <w:qFormat/>
    <w:uiPriority w:val="0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63">
    <w:name w:val="Char Char16"/>
    <w:qFormat/>
    <w:uiPriority w:val="0"/>
    <w:rPr>
      <w:rFonts w:ascii="Times Armenian" w:hAnsi="Times Armenian"/>
      <w:b/>
      <w:lang w:val="hy-AM"/>
    </w:rPr>
  </w:style>
  <w:style w:type="character" w:customStyle="1" w:styleId="64">
    <w:name w:val="Char Char15"/>
    <w:qFormat/>
    <w:uiPriority w:val="0"/>
    <w:rPr>
      <w:rFonts w:ascii="Times Armenian" w:hAnsi="Times Armenian"/>
      <w:i/>
      <w:lang w:val="nl-NL"/>
    </w:rPr>
  </w:style>
  <w:style w:type="character" w:customStyle="1" w:styleId="65">
    <w:name w:val="Заголовок 9 Знак"/>
    <w:link w:val="10"/>
    <w:qFormat/>
    <w:uiPriority w:val="0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66">
    <w:name w:val="Char Char13"/>
    <w:qFormat/>
    <w:uiPriority w:val="0"/>
    <w:rPr>
      <w:rFonts w:ascii="Arial Armenian" w:hAnsi="Arial Armenian"/>
      <w:lang w:val="en-US"/>
    </w:rPr>
  </w:style>
  <w:style w:type="character" w:customStyle="1" w:styleId="67">
    <w:name w:val="Основной текст с отступом 2 Знак"/>
    <w:link w:val="38"/>
    <w:qFormat/>
    <w:uiPriority w:val="0"/>
    <w:rPr>
      <w:rFonts w:ascii="Baltica" w:hAnsi="Baltica"/>
      <w:lang w:val="af-ZA" w:eastAsia="en-US" w:bidi="ar-SA"/>
    </w:rPr>
  </w:style>
  <w:style w:type="character" w:customStyle="1" w:styleId="68">
    <w:name w:val="Основной текст 2 Знак"/>
    <w:link w:val="22"/>
    <w:qFormat/>
    <w:uiPriority w:val="0"/>
    <w:rPr>
      <w:rFonts w:ascii="Arial LatArm" w:hAnsi="Arial LatArm"/>
      <w:lang w:val="en-US" w:eastAsia="en-US" w:bidi="ar-SA"/>
    </w:rPr>
  </w:style>
  <w:style w:type="character" w:customStyle="1" w:styleId="69">
    <w:name w:val="Верхний колонтитул Знак"/>
    <w:link w:val="30"/>
    <w:qFormat/>
    <w:uiPriority w:val="0"/>
    <w:rPr>
      <w:lang w:val="en-AU" w:eastAsia="ru-RU" w:bidi="ar-SA"/>
    </w:rPr>
  </w:style>
  <w:style w:type="character" w:customStyle="1" w:styleId="70">
    <w:name w:val="Основной текст 3 Знак"/>
    <w:link w:val="37"/>
    <w:qFormat/>
    <w:uiPriority w:val="0"/>
    <w:rPr>
      <w:rFonts w:ascii="Arial LatArm" w:hAnsi="Arial LatArm"/>
      <w:lang w:val="en-US" w:eastAsia="ru-RU" w:bidi="ar-SA"/>
    </w:rPr>
  </w:style>
  <w:style w:type="paragraph" w:customStyle="1" w:styleId="71">
    <w:name w:val="Рецензия1"/>
    <w:hidden/>
    <w:semiHidden/>
    <w:qFormat/>
    <w:uiPriority w:val="0"/>
    <w:rPr>
      <w:rFonts w:ascii="Times Armenian" w:hAnsi="Times Armenian" w:eastAsia="Times New Roman" w:cs="Times New Roman"/>
      <w:sz w:val="24"/>
      <w:lang w:val="en-US" w:eastAsia="ru-RU" w:bidi="ar-SA"/>
    </w:rPr>
  </w:style>
  <w:style w:type="paragraph" w:customStyle="1" w:styleId="72">
    <w:name w:val="Char1"/>
    <w:basedOn w:val="1"/>
    <w:qFormat/>
    <w:uiPriority w:val="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73">
    <w:name w:val="Style2"/>
    <w:basedOn w:val="1"/>
    <w:qFormat/>
    <w:uiPriority w:val="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74">
    <w:name w:val="Char Char23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5">
    <w:name w:val="Char Char21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styleId="76">
    <w:name w:val="List Paragraph"/>
    <w:basedOn w:val="1"/>
    <w:link w:val="110"/>
    <w:qFormat/>
    <w:uiPriority w:val="34"/>
    <w:pPr>
      <w:ind w:left="720"/>
    </w:pPr>
    <w:rPr>
      <w:rFonts w:ascii="Times Armenian" w:hAnsi="Times Armenian"/>
      <w:lang w:val="zh-CN" w:eastAsia="ru-RU"/>
    </w:rPr>
  </w:style>
  <w:style w:type="character" w:customStyle="1" w:styleId="77">
    <w:name w:val="Char Char25"/>
    <w:qFormat/>
    <w:uiPriority w:val="0"/>
    <w:rPr>
      <w:rFonts w:ascii="Arial Armenian" w:hAnsi="Arial Armenian"/>
      <w:sz w:val="28"/>
      <w:lang w:val="en-US" w:eastAsia="ru-RU" w:bidi="ar-SA"/>
    </w:rPr>
  </w:style>
  <w:style w:type="character" w:customStyle="1" w:styleId="78">
    <w:name w:val="Char Char24"/>
    <w:qFormat/>
    <w:uiPriority w:val="0"/>
    <w:rPr>
      <w:rFonts w:ascii="Arial LatArm" w:hAnsi="Arial LatArm"/>
      <w:b/>
      <w:color w:val="0000FF"/>
      <w:lang w:val="en-US" w:eastAsia="ru-RU" w:bidi="ar-SA"/>
    </w:rPr>
  </w:style>
  <w:style w:type="paragraph" w:customStyle="1" w:styleId="79">
    <w:name w:val="Body Text Indent 2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0">
    <w:name w:val="Normal+2"/>
    <w:basedOn w:val="1"/>
    <w:next w:val="1"/>
    <w:qFormat/>
    <w:uiPriority w:val="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81">
    <w:name w:val="Знак Знак Знак Char Char Char Char Знак Знак Знак"/>
    <w:basedOn w:val="1"/>
    <w:qFormat/>
    <w:uiPriority w:val="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82">
    <w:name w:val="xl6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3">
    <w:name w:val="xl6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8"/>
      <w:szCs w:val="18"/>
    </w:rPr>
  </w:style>
  <w:style w:type="paragraph" w:customStyle="1" w:styleId="8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Times Armenian" w:hAnsi="Times Armenian" w:eastAsia="Arial Unicode MS" w:cs="Arial Unicode MS"/>
      <w:b/>
      <w:bCs/>
      <w:i/>
      <w:iCs/>
      <w:sz w:val="16"/>
      <w:szCs w:val="16"/>
    </w:rPr>
  </w:style>
  <w:style w:type="paragraph" w:customStyle="1" w:styleId="8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8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8">
    <w:name w:val="xl69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89">
    <w:name w:val="xl70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90">
    <w:name w:val="xl7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1">
    <w:name w:val="xl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92">
    <w:name w:val="font5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sz w:val="16"/>
      <w:szCs w:val="16"/>
    </w:rPr>
  </w:style>
  <w:style w:type="paragraph" w:customStyle="1" w:styleId="93">
    <w:name w:val="font6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i/>
      <w:iCs/>
      <w:sz w:val="16"/>
      <w:szCs w:val="16"/>
    </w:rPr>
  </w:style>
  <w:style w:type="paragraph" w:customStyle="1" w:styleId="94">
    <w:name w:val="font7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5">
    <w:name w:val="font8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6">
    <w:name w:val="font9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i/>
      <w:iCs/>
      <w:sz w:val="16"/>
      <w:szCs w:val="16"/>
    </w:rPr>
  </w:style>
  <w:style w:type="paragraph" w:customStyle="1" w:styleId="97">
    <w:name w:val="font10"/>
    <w:basedOn w:val="1"/>
    <w:qFormat/>
    <w:uiPriority w:val="0"/>
    <w:pPr>
      <w:spacing w:before="100" w:beforeAutospacing="1" w:after="100" w:afterAutospacing="1"/>
    </w:pPr>
    <w:rPr>
      <w:rFonts w:ascii="Times LatArm" w:hAnsi="Times LatArm" w:eastAsia="Arial Unicode MS" w:cs="Arial Unicode MS"/>
      <w:sz w:val="16"/>
      <w:szCs w:val="16"/>
    </w:rPr>
  </w:style>
  <w:style w:type="paragraph" w:customStyle="1" w:styleId="98">
    <w:name w:val="font11"/>
    <w:basedOn w:val="1"/>
    <w:qFormat/>
    <w:uiPriority w:val="0"/>
    <w:pPr>
      <w:spacing w:before="100" w:beforeAutospacing="1" w:after="100" w:afterAutospacing="1"/>
    </w:pPr>
    <w:rPr>
      <w:rFonts w:ascii="Times LatRus" w:hAnsi="Times LatRus" w:eastAsia="Arial Unicode MS" w:cs="Arial Unicode MS"/>
      <w:sz w:val="16"/>
      <w:szCs w:val="16"/>
    </w:rPr>
  </w:style>
  <w:style w:type="paragraph" w:customStyle="1" w:styleId="99">
    <w:name w:val="font12"/>
    <w:basedOn w:val="1"/>
    <w:qFormat/>
    <w:uiPriority w:val="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100">
    <w:name w:val="font13"/>
    <w:basedOn w:val="1"/>
    <w:qFormat/>
    <w:uiPriority w:val="0"/>
    <w:pPr>
      <w:spacing w:before="100" w:beforeAutospacing="1" w:after="100" w:afterAutospacing="1"/>
    </w:pPr>
    <w:rPr>
      <w:rFonts w:ascii="Times Armenian" w:hAnsi="Times Armenian" w:eastAsia="Arial Unicode MS" w:cs="Arial Unicode MS"/>
      <w:color w:val="000000"/>
      <w:sz w:val="20"/>
      <w:szCs w:val="20"/>
    </w:rPr>
  </w:style>
  <w:style w:type="paragraph" w:customStyle="1" w:styleId="101">
    <w:name w:val="xl7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2">
    <w:name w:val="xl7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  <w:sz w:val="16"/>
      <w:szCs w:val="16"/>
    </w:rPr>
  </w:style>
  <w:style w:type="paragraph" w:customStyle="1" w:styleId="103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Armenian" w:hAnsi="Times Armenian" w:eastAsia="Arial Unicode MS" w:cs="Arial Unicode MS"/>
      <w:b/>
      <w:bCs/>
    </w:rPr>
  </w:style>
  <w:style w:type="paragraph" w:customStyle="1" w:styleId="104">
    <w:name w:val="Index 11"/>
    <w:basedOn w:val="1"/>
    <w:qFormat/>
    <w:uiPriority w:val="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05">
    <w:name w:val="Index Heading1"/>
    <w:basedOn w:val="1"/>
    <w:qFormat/>
    <w:uiPriority w:val="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106">
    <w:name w:val="Char Char Char Char1"/>
    <w:qFormat/>
    <w:uiPriority w:val="0"/>
    <w:rPr>
      <w:rFonts w:ascii="Arial LatArm" w:hAnsi="Arial LatArm"/>
      <w:sz w:val="24"/>
      <w:lang w:val="en-US" w:eastAsia="ru-RU" w:bidi="ar-SA"/>
    </w:rPr>
  </w:style>
  <w:style w:type="character" w:customStyle="1" w:styleId="107">
    <w:name w:val="Текст сноски Знак"/>
    <w:link w:val="29"/>
    <w:semiHidden/>
    <w:qFormat/>
    <w:uiPriority w:val="0"/>
    <w:rPr>
      <w:rFonts w:ascii="Times Armenian" w:hAnsi="Times Armenian"/>
      <w:lang w:eastAsia="ru-RU"/>
    </w:rPr>
  </w:style>
  <w:style w:type="character" w:customStyle="1" w:styleId="108">
    <w:name w:val="Char Char"/>
    <w:qFormat/>
    <w:locked/>
    <w:uiPriority w:val="0"/>
    <w:rPr>
      <w:lang w:val="en-US" w:eastAsia="en-US" w:bidi="ar-SA"/>
    </w:rPr>
  </w:style>
  <w:style w:type="paragraph" w:customStyle="1" w:styleId="109">
    <w:name w:val="Char3 Char Char Char"/>
    <w:basedOn w:val="1"/>
    <w:next w:val="1"/>
    <w:semiHidden/>
    <w:qFormat/>
    <w:uiPriority w:val="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110">
    <w:name w:val="Абзац списка Знак"/>
    <w:link w:val="76"/>
    <w:qFormat/>
    <w:locked/>
    <w:uiPriority w:val="34"/>
    <w:rPr>
      <w:rFonts w:ascii="Times Armenian" w:hAnsi="Times Armenian" w:cs="Times Armenian"/>
      <w:sz w:val="24"/>
      <w:szCs w:val="24"/>
      <w:lang w:eastAsia="ru-RU"/>
    </w:rPr>
  </w:style>
  <w:style w:type="character" w:customStyle="1" w:styleId="111">
    <w:name w:val="Основной текст с отступом 3 Знак"/>
    <w:link w:val="23"/>
    <w:qFormat/>
    <w:uiPriority w:val="0"/>
    <w:rPr>
      <w:rFonts w:ascii="Times Armenian" w:hAnsi="Times Armenian"/>
    </w:rPr>
  </w:style>
  <w:style w:type="character" w:customStyle="1" w:styleId="11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3">
    <w:name w:val="Текст примечания Знак"/>
    <w:link w:val="25"/>
    <w:semiHidden/>
    <w:qFormat/>
    <w:uiPriority w:val="0"/>
    <w:rPr>
      <w:rFonts w:ascii="Times Armenian" w:hAnsi="Times Armenian"/>
      <w:lang w:eastAsia="ru-RU"/>
    </w:rPr>
  </w:style>
  <w:style w:type="character" w:customStyle="1" w:styleId="114">
    <w:name w:val="Тема примечания Знак"/>
    <w:link w:val="27"/>
    <w:semiHidden/>
    <w:qFormat/>
    <w:uiPriority w:val="0"/>
    <w:rPr>
      <w:rFonts w:ascii="Times Armenian" w:hAnsi="Times Armenian"/>
      <w:b/>
      <w:bCs/>
      <w:lang w:eastAsia="ru-RU"/>
    </w:rPr>
  </w:style>
  <w:style w:type="character" w:customStyle="1" w:styleId="115">
    <w:name w:val="Текст концевой сноски Знак"/>
    <w:link w:val="24"/>
    <w:semiHidden/>
    <w:qFormat/>
    <w:uiPriority w:val="0"/>
    <w:rPr>
      <w:rFonts w:ascii="Times Armenian" w:hAnsi="Times Armenian"/>
      <w:lang w:eastAsia="ru-RU"/>
    </w:rPr>
  </w:style>
  <w:style w:type="character" w:customStyle="1" w:styleId="116">
    <w:name w:val="Схема документа Знак"/>
    <w:link w:val="28"/>
    <w:semiHidden/>
    <w:qFormat/>
    <w:uiPriority w:val="0"/>
    <w:rPr>
      <w:rFonts w:ascii="Tahoma" w:hAnsi="Tahoma" w:cs="Tahoma"/>
      <w:shd w:val="clear" w:color="auto" w:fill="000080"/>
      <w:lang w:eastAsia="ru-RU"/>
    </w:rPr>
  </w:style>
  <w:style w:type="character" w:customStyle="1" w:styleId="117">
    <w:name w:val="Char Char4"/>
    <w:qFormat/>
    <w:locked/>
    <w:uiPriority w:val="0"/>
    <w:rPr>
      <w:sz w:val="24"/>
      <w:szCs w:val="24"/>
      <w:lang w:val="en-US" w:eastAsia="en-US" w:bidi="ar-SA"/>
    </w:rPr>
  </w:style>
  <w:style w:type="paragraph" w:customStyle="1" w:styleId="118">
    <w:name w:val="msonormalcxspmiddle"/>
    <w:basedOn w:val="1"/>
    <w:qFormat/>
    <w:uiPriority w:val="0"/>
    <w:pPr>
      <w:spacing w:before="100" w:beforeAutospacing="1" w:after="100" w:afterAutospacing="1"/>
    </w:pPr>
  </w:style>
  <w:style w:type="character" w:customStyle="1" w:styleId="119">
    <w:name w:val="Char Char5"/>
    <w:qFormat/>
    <w:locked/>
    <w:uiPriority w:val="0"/>
    <w:rPr>
      <w:sz w:val="24"/>
      <w:szCs w:val="24"/>
      <w:lang w:val="en-US" w:eastAsia="en-US" w:bidi="ar-SA"/>
    </w:rPr>
  </w:style>
  <w:style w:type="character" w:customStyle="1" w:styleId="120">
    <w:name w:val="Обычный (веб) Знак"/>
    <w:link w:val="36"/>
    <w:qFormat/>
    <w:locked/>
    <w:uiPriority w:val="99"/>
    <w:rPr>
      <w:sz w:val="24"/>
      <w:szCs w:val="24"/>
    </w:rPr>
  </w:style>
  <w:style w:type="character" w:customStyle="1" w:styleId="121">
    <w:name w:val="apple-style-span"/>
    <w:basedOn w:val="11"/>
    <w:qFormat/>
    <w:uiPriority w:val="0"/>
  </w:style>
  <w:style w:type="character" w:customStyle="1" w:styleId="122">
    <w:name w:val="apple-converted-space"/>
    <w:basedOn w:val="11"/>
    <w:qFormat/>
    <w:uiPriority w:val="0"/>
  </w:style>
  <w:style w:type="paragraph" w:customStyle="1" w:styleId="123">
    <w:name w:val="mechtex"/>
    <w:basedOn w:val="1"/>
    <w:link w:val="124"/>
    <w:qFormat/>
    <w:uiPriority w:val="0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124">
    <w:name w:val="mechtex Char"/>
    <w:link w:val="123"/>
    <w:qFormat/>
    <w:locked/>
    <w:uiPriority w:val="0"/>
    <w:rPr>
      <w:rFonts w:ascii="Arial Armenian" w:hAnsi="Arial Armenian"/>
      <w:sz w:val="22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EC7BF-A9A0-4097-9B2A-D785186056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1263</Words>
  <Characters>10529</Characters>
  <Lines>73</Lines>
  <Paragraphs>20</Paragraphs>
  <TotalTime>37</TotalTime>
  <ScaleCrop>false</ScaleCrop>
  <LinksUpToDate>false</LinksUpToDate>
  <CharactersWithSpaces>11967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2025-09-19T07:15:00Z</dcterms:created>
  <dc:creator>H.Avetisyan</dc:creator>
  <cp:keywords>https:/mul2-minfin.gov.am/tasks/543902/oneclick/Carayutyun_elektronayin 27.10.docx?token=4a2dea846931278131ebbd58fa851d6f</cp:keywords>
  <cp:lastModifiedBy>Ալավերդու քաղշին</cp:lastModifiedBy>
  <cp:lastPrinted>2026-05-12T13:29:29Z</cp:lastPrinted>
  <dcterms:modified xsi:type="dcterms:W3CDTF">2026-05-12T13:30:13Z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91EED20EDF5F40D8AE4247E89ED3E45A_13</vt:lpwstr>
  </property>
  <property fmtid="{D5CDD505-2E9C-101B-9397-08002B2CF9AE}" pid="4" name="KSOTemplateDocerSaveRecord">
    <vt:lpwstr>eyJoZGlkIjoiM2NlZDFkNzE2Y2EzMWFmZjBhMDE3NzA0NTNkMDk1ZTMiLCJ1c2VySWQiOiIxMDU4MjgwMTkxMjA3OCJ9</vt:lpwstr>
  </property>
</Properties>
</file>